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09793" w14:textId="77777777" w:rsidR="00921474" w:rsidRPr="00E67976" w:rsidRDefault="005D1383" w:rsidP="005C197D">
      <w:pPr>
        <w:jc w:val="center"/>
        <w:rPr>
          <w:b/>
          <w:bCs/>
          <w:color w:val="0070C0"/>
          <w:sz w:val="28"/>
          <w:szCs w:val="24"/>
          <w:u w:val="single"/>
        </w:rPr>
      </w:pPr>
      <w:r w:rsidRPr="00E67976">
        <w:rPr>
          <w:b/>
          <w:bCs/>
          <w:color w:val="0070C0"/>
          <w:sz w:val="28"/>
          <w:szCs w:val="24"/>
          <w:u w:val="single"/>
        </w:rPr>
        <w:t xml:space="preserve">RLG </w:t>
      </w:r>
      <w:r w:rsidR="003163B2" w:rsidRPr="00E67976">
        <w:rPr>
          <w:b/>
          <w:bCs/>
          <w:color w:val="0070C0"/>
          <w:sz w:val="28"/>
          <w:szCs w:val="24"/>
          <w:u w:val="single"/>
        </w:rPr>
        <w:t>FAST FACTS</w:t>
      </w:r>
    </w:p>
    <w:p w14:paraId="741106C2" w14:textId="40BF4AD6" w:rsidR="003A7114" w:rsidRPr="00E67976" w:rsidRDefault="00E67976" w:rsidP="00E67976">
      <w:pPr>
        <w:jc w:val="center"/>
        <w:rPr>
          <w:b/>
          <w:bCs/>
          <w:sz w:val="28"/>
          <w:szCs w:val="24"/>
        </w:rPr>
      </w:pPr>
      <w:r w:rsidRPr="00E67976">
        <w:rPr>
          <w:b/>
          <w:bCs/>
          <w:color w:val="0070C0"/>
          <w:sz w:val="28"/>
          <w:szCs w:val="24"/>
        </w:rPr>
        <w:t>Pay Transparency Laws: Are You Ready for 2025?</w:t>
      </w:r>
    </w:p>
    <w:p w14:paraId="69CAEE94" w14:textId="77777777" w:rsidR="00E67976" w:rsidRDefault="00E67976" w:rsidP="005C197D">
      <w:pPr>
        <w:jc w:val="both"/>
      </w:pPr>
    </w:p>
    <w:p w14:paraId="61F4C29B" w14:textId="179EBAC5" w:rsidR="00E67976" w:rsidRDefault="00E67976" w:rsidP="00E67976">
      <w:pPr>
        <w:jc w:val="center"/>
        <w:rPr>
          <w:b/>
          <w:bCs/>
          <w:color w:val="0070C0"/>
        </w:rPr>
      </w:pPr>
      <w:r>
        <w:rPr>
          <w:b/>
          <w:bCs/>
          <w:color w:val="0070C0"/>
        </w:rPr>
        <w:t>Key Goals</w:t>
      </w:r>
    </w:p>
    <w:p w14:paraId="2471574E" w14:textId="77777777" w:rsidR="0084381D" w:rsidRPr="00E67976" w:rsidRDefault="0084381D" w:rsidP="0084381D">
      <w:pPr>
        <w:rPr>
          <w:color w:val="0070C0"/>
        </w:rPr>
      </w:pPr>
    </w:p>
    <w:p w14:paraId="23BFAF8C" w14:textId="6466E4E6" w:rsidR="00E67976" w:rsidRDefault="00E67976" w:rsidP="00E67976">
      <w:pPr>
        <w:pStyle w:val="ListParagraph"/>
        <w:numPr>
          <w:ilvl w:val="0"/>
          <w:numId w:val="14"/>
        </w:numPr>
        <w:jc w:val="both"/>
      </w:pPr>
      <w:r>
        <w:t>Discuss the scope of pay transparency laws and basis for creation</w:t>
      </w:r>
      <w:r w:rsidR="0084381D">
        <w:t>.</w:t>
      </w:r>
    </w:p>
    <w:p w14:paraId="7E286B1E" w14:textId="5A68259E" w:rsidR="00E67976" w:rsidRDefault="00E67976" w:rsidP="00E67976">
      <w:pPr>
        <w:pStyle w:val="ListParagraph"/>
        <w:numPr>
          <w:ilvl w:val="0"/>
          <w:numId w:val="14"/>
        </w:numPr>
        <w:jc w:val="both"/>
      </w:pPr>
      <w:r>
        <w:t>Pay transparency pros and cons</w:t>
      </w:r>
      <w:r w:rsidR="0084381D">
        <w:t>.</w:t>
      </w:r>
      <w:r>
        <w:t xml:space="preserve"> </w:t>
      </w:r>
    </w:p>
    <w:p w14:paraId="0CF61316" w14:textId="687804F9" w:rsidR="00E67976" w:rsidRDefault="00E67976" w:rsidP="00E67976">
      <w:pPr>
        <w:pStyle w:val="ListParagraph"/>
        <w:numPr>
          <w:ilvl w:val="0"/>
          <w:numId w:val="14"/>
        </w:numPr>
        <w:jc w:val="both"/>
      </w:pPr>
      <w:r>
        <w:t>How to address comply with pay transparency laws</w:t>
      </w:r>
      <w:r w:rsidR="0084381D">
        <w:t>.</w:t>
      </w:r>
    </w:p>
    <w:p w14:paraId="4DDB2D44" w14:textId="77777777" w:rsidR="0072083F" w:rsidRDefault="0072083F" w:rsidP="005C197D">
      <w:pPr>
        <w:jc w:val="both"/>
        <w:rPr>
          <w:rFonts w:eastAsia="Times New Roman" w:cs="Times New Roman"/>
          <w:b/>
          <w:bCs/>
          <w:szCs w:val="24"/>
          <w:u w:val="single"/>
        </w:rPr>
      </w:pPr>
    </w:p>
    <w:p w14:paraId="40261870" w14:textId="2DCE3723" w:rsidR="003163B2" w:rsidRPr="003163B2" w:rsidRDefault="00E67976" w:rsidP="0084381D">
      <w:pPr>
        <w:jc w:val="center"/>
        <w:rPr>
          <w:color w:val="0070C0"/>
        </w:rPr>
      </w:pPr>
      <w:r>
        <w:rPr>
          <w:b/>
          <w:bCs/>
          <w:color w:val="0070C0"/>
        </w:rPr>
        <w:t>Pay Transparency Across the Country</w:t>
      </w:r>
    </w:p>
    <w:p w14:paraId="498CCE36" w14:textId="77777777" w:rsidR="0084381D" w:rsidRDefault="0084381D" w:rsidP="003163B2">
      <w:pPr>
        <w:jc w:val="both"/>
      </w:pPr>
    </w:p>
    <w:p w14:paraId="2D4B326A" w14:textId="4A47C13C" w:rsidR="0084381D" w:rsidRDefault="00E67976" w:rsidP="00E67976">
      <w:pPr>
        <w:jc w:val="both"/>
      </w:pPr>
      <w:r w:rsidRPr="00E67976">
        <w:t>This shift towards pay transparency has not come on suddenly—rather</w:t>
      </w:r>
      <w:r w:rsidR="0084381D">
        <w:t>,</w:t>
      </w:r>
      <w:r w:rsidRPr="00E67976">
        <w:t xml:space="preserve"> it’s been a hot topic for years. </w:t>
      </w:r>
      <w:r w:rsidR="0084381D">
        <w:t xml:space="preserve"> </w:t>
      </w:r>
      <w:r w:rsidRPr="00E67976">
        <w:t>Most people would agree that reducing biased pay gaps and removing some of the job search guesswork is important</w:t>
      </w:r>
      <w:r w:rsidR="0084381D">
        <w:t>;</w:t>
      </w:r>
      <w:r w:rsidRPr="00E67976">
        <w:t xml:space="preserve"> but at the same time</w:t>
      </w:r>
      <w:r w:rsidR="0084381D">
        <w:t>,</w:t>
      </w:r>
      <w:r w:rsidRPr="00E67976">
        <w:t xml:space="preserve"> we are all tired of various states implementing a new set of standards.</w:t>
      </w:r>
      <w:r w:rsidR="0084381D">
        <w:t xml:space="preserve"> </w:t>
      </w:r>
    </w:p>
    <w:p w14:paraId="17B1F52D" w14:textId="77777777" w:rsidR="0084381D" w:rsidRDefault="0084381D" w:rsidP="00E67976">
      <w:pPr>
        <w:jc w:val="both"/>
      </w:pPr>
    </w:p>
    <w:p w14:paraId="475228A1" w14:textId="7112704A" w:rsidR="00E67976" w:rsidRDefault="00E67976" w:rsidP="00E67976">
      <w:pPr>
        <w:jc w:val="both"/>
      </w:pPr>
      <w:r>
        <w:t>Some states and localities already have wage range disclosure pay transparency laws in effect</w:t>
      </w:r>
      <w:r w:rsidR="0084381D">
        <w:t>, including</w:t>
      </w:r>
      <w:r>
        <w:t>:</w:t>
      </w:r>
    </w:p>
    <w:p w14:paraId="35ED8241" w14:textId="77777777" w:rsidR="00E67976" w:rsidRDefault="00E67976" w:rsidP="00E67976">
      <w:pPr>
        <w:jc w:val="both"/>
      </w:pPr>
    </w:p>
    <w:p w14:paraId="0AD5A12C" w14:textId="77777777" w:rsidR="00E67976" w:rsidRDefault="00E67976" w:rsidP="00E67976">
      <w:pPr>
        <w:pStyle w:val="ListParagraph"/>
        <w:numPr>
          <w:ilvl w:val="0"/>
          <w:numId w:val="15"/>
        </w:numPr>
        <w:jc w:val="both"/>
      </w:pPr>
      <w:r>
        <w:t>California</w:t>
      </w:r>
    </w:p>
    <w:p w14:paraId="28D35772" w14:textId="77777777" w:rsidR="00E67976" w:rsidRDefault="00E67976" w:rsidP="00E67976">
      <w:pPr>
        <w:pStyle w:val="ListParagraph"/>
        <w:numPr>
          <w:ilvl w:val="0"/>
          <w:numId w:val="15"/>
        </w:numPr>
        <w:jc w:val="both"/>
      </w:pPr>
      <w:r>
        <w:t>Cincinnati, Ohio</w:t>
      </w:r>
    </w:p>
    <w:p w14:paraId="02DCD044" w14:textId="77777777" w:rsidR="00E67976" w:rsidRDefault="00E67976" w:rsidP="00E67976">
      <w:pPr>
        <w:pStyle w:val="ListParagraph"/>
        <w:numPr>
          <w:ilvl w:val="0"/>
          <w:numId w:val="15"/>
        </w:numPr>
        <w:jc w:val="both"/>
      </w:pPr>
      <w:r>
        <w:t>Colorado</w:t>
      </w:r>
    </w:p>
    <w:p w14:paraId="164998BD" w14:textId="77777777" w:rsidR="00E67976" w:rsidRDefault="00E67976" w:rsidP="00E67976">
      <w:pPr>
        <w:pStyle w:val="ListParagraph"/>
        <w:numPr>
          <w:ilvl w:val="0"/>
          <w:numId w:val="15"/>
        </w:numPr>
        <w:jc w:val="both"/>
      </w:pPr>
      <w:r>
        <w:t>Connecticut</w:t>
      </w:r>
    </w:p>
    <w:p w14:paraId="6BCACA74" w14:textId="77777777" w:rsidR="00E67976" w:rsidRDefault="00E67976" w:rsidP="00E67976">
      <w:pPr>
        <w:pStyle w:val="ListParagraph"/>
        <w:numPr>
          <w:ilvl w:val="0"/>
          <w:numId w:val="15"/>
        </w:numPr>
        <w:jc w:val="both"/>
      </w:pPr>
      <w:r>
        <w:t>Hawaii</w:t>
      </w:r>
    </w:p>
    <w:p w14:paraId="044C6F2C" w14:textId="77777777" w:rsidR="00E67976" w:rsidRDefault="00E67976" w:rsidP="00E67976">
      <w:pPr>
        <w:pStyle w:val="ListParagraph"/>
        <w:numPr>
          <w:ilvl w:val="0"/>
          <w:numId w:val="15"/>
        </w:numPr>
        <w:jc w:val="both"/>
      </w:pPr>
      <w:r>
        <w:t>Ithaca, New York</w:t>
      </w:r>
    </w:p>
    <w:p w14:paraId="7FF5CB89" w14:textId="77777777" w:rsidR="00E67976" w:rsidRDefault="00E67976" w:rsidP="00E67976">
      <w:pPr>
        <w:pStyle w:val="ListParagraph"/>
        <w:numPr>
          <w:ilvl w:val="0"/>
          <w:numId w:val="15"/>
        </w:numPr>
        <w:jc w:val="both"/>
      </w:pPr>
      <w:r>
        <w:t>Jersey City, New Jersey</w:t>
      </w:r>
    </w:p>
    <w:p w14:paraId="560F9C52" w14:textId="77777777" w:rsidR="00E67976" w:rsidRDefault="00E67976" w:rsidP="00E67976">
      <w:pPr>
        <w:pStyle w:val="ListParagraph"/>
        <w:numPr>
          <w:ilvl w:val="0"/>
          <w:numId w:val="15"/>
        </w:numPr>
        <w:jc w:val="both"/>
      </w:pPr>
      <w:r>
        <w:t>Nevada</w:t>
      </w:r>
    </w:p>
    <w:p w14:paraId="1BB2EA6F" w14:textId="77777777" w:rsidR="00E67976" w:rsidRDefault="00E67976" w:rsidP="00E67976">
      <w:pPr>
        <w:pStyle w:val="ListParagraph"/>
        <w:numPr>
          <w:ilvl w:val="0"/>
          <w:numId w:val="15"/>
        </w:numPr>
        <w:jc w:val="both"/>
      </w:pPr>
      <w:r>
        <w:t>New York</w:t>
      </w:r>
    </w:p>
    <w:p w14:paraId="30BA53E8" w14:textId="77777777" w:rsidR="00E67976" w:rsidRDefault="00E67976" w:rsidP="00E67976">
      <w:pPr>
        <w:pStyle w:val="ListParagraph"/>
        <w:numPr>
          <w:ilvl w:val="0"/>
          <w:numId w:val="15"/>
        </w:numPr>
        <w:jc w:val="both"/>
      </w:pPr>
      <w:r>
        <w:t>New York City, New York</w:t>
      </w:r>
    </w:p>
    <w:p w14:paraId="00AE6F64" w14:textId="77777777" w:rsidR="00E67976" w:rsidRDefault="00E67976" w:rsidP="00E67976">
      <w:pPr>
        <w:pStyle w:val="ListParagraph"/>
        <w:numPr>
          <w:ilvl w:val="0"/>
          <w:numId w:val="15"/>
        </w:numPr>
        <w:jc w:val="both"/>
      </w:pPr>
      <w:r>
        <w:t>Rhode Island</w:t>
      </w:r>
    </w:p>
    <w:p w14:paraId="1A1A2050" w14:textId="77777777" w:rsidR="00E67976" w:rsidRDefault="00E67976" w:rsidP="00E67976">
      <w:pPr>
        <w:pStyle w:val="ListParagraph"/>
        <w:numPr>
          <w:ilvl w:val="0"/>
          <w:numId w:val="15"/>
        </w:numPr>
        <w:jc w:val="both"/>
      </w:pPr>
      <w:r>
        <w:t>Toledo, Ohio</w:t>
      </w:r>
    </w:p>
    <w:p w14:paraId="4A048CA9" w14:textId="77777777" w:rsidR="00E67976" w:rsidRDefault="00E67976" w:rsidP="00E67976">
      <w:pPr>
        <w:pStyle w:val="ListParagraph"/>
        <w:numPr>
          <w:ilvl w:val="0"/>
          <w:numId w:val="15"/>
        </w:numPr>
        <w:jc w:val="both"/>
      </w:pPr>
      <w:r>
        <w:t>Washington</w:t>
      </w:r>
    </w:p>
    <w:p w14:paraId="084942E8" w14:textId="77777777" w:rsidR="00E67976" w:rsidRDefault="00E67976" w:rsidP="00E67976">
      <w:pPr>
        <w:pStyle w:val="ListParagraph"/>
        <w:numPr>
          <w:ilvl w:val="0"/>
          <w:numId w:val="15"/>
        </w:numPr>
        <w:jc w:val="both"/>
      </w:pPr>
      <w:r>
        <w:t>Washington, D.C.</w:t>
      </w:r>
    </w:p>
    <w:p w14:paraId="5E6F010F" w14:textId="26222DF1" w:rsidR="00E67976" w:rsidRDefault="00E67976" w:rsidP="00E67976">
      <w:pPr>
        <w:pStyle w:val="ListParagraph"/>
        <w:numPr>
          <w:ilvl w:val="0"/>
          <w:numId w:val="15"/>
        </w:numPr>
        <w:jc w:val="both"/>
      </w:pPr>
      <w:r>
        <w:t>Westchester County, New York</w:t>
      </w:r>
    </w:p>
    <w:p w14:paraId="428A1CAA" w14:textId="77777777" w:rsidR="0084381D" w:rsidRDefault="0084381D" w:rsidP="00E67976">
      <w:pPr>
        <w:jc w:val="both"/>
      </w:pPr>
    </w:p>
    <w:p w14:paraId="41ABE02F" w14:textId="77777777" w:rsidR="0084381D" w:rsidRDefault="0084381D" w:rsidP="00E67976">
      <w:pPr>
        <w:jc w:val="both"/>
      </w:pPr>
    </w:p>
    <w:p w14:paraId="7B2144D4" w14:textId="77777777" w:rsidR="0084381D" w:rsidRDefault="0084381D" w:rsidP="00E67976">
      <w:pPr>
        <w:jc w:val="both"/>
      </w:pPr>
    </w:p>
    <w:p w14:paraId="18DAA03B" w14:textId="77777777" w:rsidR="0084381D" w:rsidRDefault="0084381D" w:rsidP="00E67976">
      <w:pPr>
        <w:jc w:val="both"/>
      </w:pPr>
    </w:p>
    <w:p w14:paraId="711E149D" w14:textId="77777777" w:rsidR="0084381D" w:rsidRDefault="0084381D" w:rsidP="00E67976">
      <w:pPr>
        <w:jc w:val="both"/>
      </w:pPr>
    </w:p>
    <w:p w14:paraId="2FA0A1A0" w14:textId="3D7EBF9F" w:rsidR="00921474" w:rsidRDefault="00E67976" w:rsidP="00E67976">
      <w:pPr>
        <w:jc w:val="both"/>
      </w:pPr>
      <w:r w:rsidRPr="00E67976">
        <w:lastRenderedPageBreak/>
        <w:t>Some states have pay transparency laws just starting or in the upcoming year:</w:t>
      </w:r>
      <w:r>
        <w:t xml:space="preserve"> </w:t>
      </w:r>
    </w:p>
    <w:p w14:paraId="42CEA0D5" w14:textId="77777777" w:rsidR="0084381D" w:rsidRDefault="0084381D" w:rsidP="005C197D">
      <w:pPr>
        <w:jc w:val="both"/>
      </w:pPr>
    </w:p>
    <w:tbl>
      <w:tblPr>
        <w:tblStyle w:val="TableGrid"/>
        <w:tblW w:w="9625" w:type="dxa"/>
        <w:tblLook w:val="04A0" w:firstRow="1" w:lastRow="0" w:firstColumn="1" w:lastColumn="0" w:noHBand="0" w:noVBand="1"/>
      </w:tblPr>
      <w:tblGrid>
        <w:gridCol w:w="3116"/>
        <w:gridCol w:w="3117"/>
        <w:gridCol w:w="3392"/>
      </w:tblGrid>
      <w:tr w:rsidR="00E67976" w14:paraId="4569DCA6" w14:textId="77777777" w:rsidTr="00E67976">
        <w:tc>
          <w:tcPr>
            <w:tcW w:w="3116" w:type="dxa"/>
          </w:tcPr>
          <w:p w14:paraId="59FF54BD" w14:textId="6B0E64DD" w:rsidR="00E67976" w:rsidRPr="00E67976" w:rsidRDefault="00E67976" w:rsidP="00E67976">
            <w:pPr>
              <w:jc w:val="center"/>
              <w:rPr>
                <w:b/>
                <w:bCs/>
              </w:rPr>
            </w:pPr>
            <w:r w:rsidRPr="00E67976">
              <w:rPr>
                <w:b/>
                <w:bCs/>
              </w:rPr>
              <w:t>STATE</w:t>
            </w:r>
          </w:p>
        </w:tc>
        <w:tc>
          <w:tcPr>
            <w:tcW w:w="3117" w:type="dxa"/>
          </w:tcPr>
          <w:p w14:paraId="3362C58E" w14:textId="26764637" w:rsidR="00E67976" w:rsidRPr="00E67976" w:rsidRDefault="00E67976" w:rsidP="00E67976">
            <w:pPr>
              <w:jc w:val="center"/>
              <w:rPr>
                <w:b/>
                <w:bCs/>
              </w:rPr>
            </w:pPr>
            <w:r w:rsidRPr="00E67976">
              <w:rPr>
                <w:b/>
                <w:bCs/>
              </w:rPr>
              <w:t>EFFECTIVE DATE</w:t>
            </w:r>
          </w:p>
        </w:tc>
        <w:tc>
          <w:tcPr>
            <w:tcW w:w="3392" w:type="dxa"/>
          </w:tcPr>
          <w:p w14:paraId="6F41ABD4" w14:textId="7CCC7F27" w:rsidR="00E67976" w:rsidRPr="00E67976" w:rsidRDefault="00E67976" w:rsidP="00E67976">
            <w:pPr>
              <w:jc w:val="center"/>
              <w:rPr>
                <w:b/>
                <w:bCs/>
              </w:rPr>
            </w:pPr>
            <w:r w:rsidRPr="00E67976">
              <w:rPr>
                <w:b/>
                <w:bCs/>
              </w:rPr>
              <w:t>COVERAGE THRESHOLD</w:t>
            </w:r>
          </w:p>
        </w:tc>
      </w:tr>
      <w:tr w:rsidR="00E67976" w14:paraId="32BDD08E" w14:textId="77777777" w:rsidTr="00E67976">
        <w:tc>
          <w:tcPr>
            <w:tcW w:w="3116" w:type="dxa"/>
            <w:vAlign w:val="center"/>
          </w:tcPr>
          <w:p w14:paraId="0942B73B" w14:textId="778BEFA3" w:rsidR="00E67976" w:rsidRDefault="00E67976" w:rsidP="00E67976">
            <w:pPr>
              <w:jc w:val="center"/>
            </w:pPr>
            <w:r>
              <w:t>Illinois</w:t>
            </w:r>
          </w:p>
        </w:tc>
        <w:tc>
          <w:tcPr>
            <w:tcW w:w="3117" w:type="dxa"/>
            <w:vAlign w:val="center"/>
          </w:tcPr>
          <w:p w14:paraId="5F7C0DA0" w14:textId="75425E8E" w:rsidR="00E67976" w:rsidRDefault="00E67976" w:rsidP="00E67976">
            <w:pPr>
              <w:jc w:val="center"/>
            </w:pPr>
            <w:r>
              <w:t>January 1, 2025</w:t>
            </w:r>
          </w:p>
        </w:tc>
        <w:tc>
          <w:tcPr>
            <w:tcW w:w="3392" w:type="dxa"/>
            <w:vAlign w:val="center"/>
          </w:tcPr>
          <w:p w14:paraId="35239FFF" w14:textId="6732EB1C" w:rsidR="00E67976" w:rsidRDefault="00E67976" w:rsidP="00E67976">
            <w:pPr>
              <w:jc w:val="center"/>
            </w:pPr>
            <w:r>
              <w:t>Employers with 15 or more employees</w:t>
            </w:r>
          </w:p>
        </w:tc>
      </w:tr>
      <w:tr w:rsidR="00E67976" w14:paraId="07233BEA" w14:textId="77777777" w:rsidTr="00E67976">
        <w:tc>
          <w:tcPr>
            <w:tcW w:w="3116" w:type="dxa"/>
            <w:vAlign w:val="center"/>
          </w:tcPr>
          <w:p w14:paraId="36F6A609" w14:textId="5FF2D663" w:rsidR="00E67976" w:rsidRDefault="00E67976" w:rsidP="00E67976">
            <w:pPr>
              <w:jc w:val="center"/>
            </w:pPr>
            <w:r>
              <w:t>Maryland</w:t>
            </w:r>
          </w:p>
        </w:tc>
        <w:tc>
          <w:tcPr>
            <w:tcW w:w="3117" w:type="dxa"/>
            <w:vAlign w:val="center"/>
          </w:tcPr>
          <w:p w14:paraId="2F4C87EE" w14:textId="665052AE" w:rsidR="00E67976" w:rsidRDefault="00E67976" w:rsidP="00E67976">
            <w:pPr>
              <w:jc w:val="center"/>
            </w:pPr>
            <w:r>
              <w:t>October 1, 2024</w:t>
            </w:r>
          </w:p>
        </w:tc>
        <w:tc>
          <w:tcPr>
            <w:tcW w:w="3392" w:type="dxa"/>
            <w:vAlign w:val="center"/>
          </w:tcPr>
          <w:p w14:paraId="26077514" w14:textId="0A4C7851" w:rsidR="00E67976" w:rsidRDefault="00E67976" w:rsidP="00E67976">
            <w:pPr>
              <w:jc w:val="center"/>
            </w:pPr>
            <w:r>
              <w:t>All employers</w:t>
            </w:r>
          </w:p>
        </w:tc>
      </w:tr>
      <w:tr w:rsidR="00E67976" w14:paraId="172471C8" w14:textId="77777777" w:rsidTr="00E67976">
        <w:tc>
          <w:tcPr>
            <w:tcW w:w="3116" w:type="dxa"/>
            <w:vAlign w:val="center"/>
          </w:tcPr>
          <w:p w14:paraId="6DBE2399" w14:textId="7A45FF11" w:rsidR="00E67976" w:rsidRDefault="00E67976" w:rsidP="00E67976">
            <w:pPr>
              <w:jc w:val="center"/>
            </w:pPr>
            <w:r>
              <w:t>Massachusetts</w:t>
            </w:r>
          </w:p>
        </w:tc>
        <w:tc>
          <w:tcPr>
            <w:tcW w:w="3117" w:type="dxa"/>
            <w:vAlign w:val="center"/>
          </w:tcPr>
          <w:p w14:paraId="32688923" w14:textId="09375F2E" w:rsidR="00E67976" w:rsidRDefault="00E67976" w:rsidP="00E67976">
            <w:pPr>
              <w:jc w:val="center"/>
            </w:pPr>
            <w:r>
              <w:t>July 31, 2025</w:t>
            </w:r>
          </w:p>
        </w:tc>
        <w:tc>
          <w:tcPr>
            <w:tcW w:w="3392" w:type="dxa"/>
            <w:vAlign w:val="center"/>
          </w:tcPr>
          <w:p w14:paraId="6F61D48F" w14:textId="0491D5FA" w:rsidR="00E67976" w:rsidRDefault="00E67976" w:rsidP="00E67976">
            <w:pPr>
              <w:jc w:val="center"/>
            </w:pPr>
            <w:r w:rsidRPr="003B7AD7">
              <w:t xml:space="preserve">Employers with </w:t>
            </w:r>
            <w:r>
              <w:t>2</w:t>
            </w:r>
            <w:r w:rsidRPr="003B7AD7">
              <w:t>5 or more employees</w:t>
            </w:r>
          </w:p>
        </w:tc>
      </w:tr>
      <w:tr w:rsidR="00E67976" w14:paraId="14DD5CD8" w14:textId="77777777" w:rsidTr="00E67976">
        <w:tc>
          <w:tcPr>
            <w:tcW w:w="3116" w:type="dxa"/>
            <w:vAlign w:val="center"/>
          </w:tcPr>
          <w:p w14:paraId="6C2DB4A2" w14:textId="01B0754B" w:rsidR="00E67976" w:rsidRDefault="00E67976" w:rsidP="00E67976">
            <w:pPr>
              <w:jc w:val="center"/>
            </w:pPr>
            <w:r>
              <w:t>Minnesota</w:t>
            </w:r>
          </w:p>
        </w:tc>
        <w:tc>
          <w:tcPr>
            <w:tcW w:w="3117" w:type="dxa"/>
            <w:vAlign w:val="center"/>
          </w:tcPr>
          <w:p w14:paraId="3077A6C9" w14:textId="3CC8085F" w:rsidR="00E67976" w:rsidRDefault="00E67976" w:rsidP="00E67976">
            <w:pPr>
              <w:jc w:val="center"/>
            </w:pPr>
            <w:r>
              <w:t>January 1, 2025</w:t>
            </w:r>
          </w:p>
        </w:tc>
        <w:tc>
          <w:tcPr>
            <w:tcW w:w="3392" w:type="dxa"/>
            <w:vAlign w:val="center"/>
          </w:tcPr>
          <w:p w14:paraId="79463147" w14:textId="38DFDED2" w:rsidR="00E67976" w:rsidRDefault="00E67976" w:rsidP="00E67976">
            <w:pPr>
              <w:jc w:val="center"/>
            </w:pPr>
            <w:r w:rsidRPr="003B7AD7">
              <w:t xml:space="preserve">Employers with </w:t>
            </w:r>
            <w:r>
              <w:t>30</w:t>
            </w:r>
            <w:r w:rsidRPr="003B7AD7">
              <w:t xml:space="preserve"> or more employees</w:t>
            </w:r>
            <w:r w:rsidR="0084381D">
              <w:t xml:space="preserve"> (within Minnesota)</w:t>
            </w:r>
          </w:p>
        </w:tc>
      </w:tr>
      <w:tr w:rsidR="00E67976" w14:paraId="588A7A07" w14:textId="77777777" w:rsidTr="00E67976">
        <w:tc>
          <w:tcPr>
            <w:tcW w:w="3116" w:type="dxa"/>
            <w:vAlign w:val="center"/>
          </w:tcPr>
          <w:p w14:paraId="0B3F7B40" w14:textId="08E397DB" w:rsidR="00E67976" w:rsidRDefault="00E67976" w:rsidP="00E67976">
            <w:pPr>
              <w:jc w:val="center"/>
            </w:pPr>
            <w:r>
              <w:t>Vermont</w:t>
            </w:r>
          </w:p>
        </w:tc>
        <w:tc>
          <w:tcPr>
            <w:tcW w:w="3117" w:type="dxa"/>
            <w:vAlign w:val="center"/>
          </w:tcPr>
          <w:p w14:paraId="1D68033E" w14:textId="3CA73454" w:rsidR="00E67976" w:rsidRDefault="00E67976" w:rsidP="00E67976">
            <w:pPr>
              <w:jc w:val="center"/>
            </w:pPr>
            <w:r>
              <w:t>Jul</w:t>
            </w:r>
            <w:r w:rsidR="006F00B2">
              <w:t>y</w:t>
            </w:r>
            <w:r>
              <w:t xml:space="preserve"> 1, 2025</w:t>
            </w:r>
          </w:p>
        </w:tc>
        <w:tc>
          <w:tcPr>
            <w:tcW w:w="3392" w:type="dxa"/>
            <w:vAlign w:val="center"/>
          </w:tcPr>
          <w:p w14:paraId="3A5135D2" w14:textId="74466E8D" w:rsidR="00E67976" w:rsidRDefault="00E67976" w:rsidP="00E67976">
            <w:pPr>
              <w:jc w:val="center"/>
            </w:pPr>
            <w:r w:rsidRPr="003B7AD7">
              <w:t>Employers with 5 or more employees</w:t>
            </w:r>
          </w:p>
        </w:tc>
      </w:tr>
    </w:tbl>
    <w:p w14:paraId="2973B373" w14:textId="77777777" w:rsidR="00E67976" w:rsidRDefault="00E67976" w:rsidP="005C197D">
      <w:pPr>
        <w:jc w:val="both"/>
      </w:pPr>
    </w:p>
    <w:p w14:paraId="18CEDDC8" w14:textId="0EECA9F0" w:rsidR="00E67976" w:rsidRPr="003163B2" w:rsidRDefault="00E67976" w:rsidP="0084381D">
      <w:pPr>
        <w:jc w:val="center"/>
        <w:rPr>
          <w:color w:val="0070C0"/>
        </w:rPr>
      </w:pPr>
      <w:r>
        <w:rPr>
          <w:b/>
          <w:bCs/>
          <w:color w:val="0070C0"/>
        </w:rPr>
        <w:t>Pay Transparency Pros and Cons</w:t>
      </w:r>
    </w:p>
    <w:p w14:paraId="72D328CB" w14:textId="77777777" w:rsidR="0084381D" w:rsidRDefault="0084381D" w:rsidP="00E67976">
      <w:pPr>
        <w:jc w:val="both"/>
      </w:pPr>
    </w:p>
    <w:p w14:paraId="59F5172E" w14:textId="3DCCEBDF" w:rsidR="00E67976" w:rsidRDefault="00E67976" w:rsidP="00E67976">
      <w:pPr>
        <w:jc w:val="both"/>
      </w:pPr>
      <w:r>
        <w:t xml:space="preserve">Pay gap discrepancies have been, and continue to be, a big issue for employers, with women still making 83 cents for every dollar earned by men. </w:t>
      </w:r>
      <w:r w:rsidR="0084381D">
        <w:t xml:space="preserve"> </w:t>
      </w:r>
      <w:r>
        <w:t xml:space="preserve">Pay transparency is also forcing employers to take a hard look at their numbers and address pay disparities. </w:t>
      </w:r>
    </w:p>
    <w:p w14:paraId="2A8725FD" w14:textId="77777777" w:rsidR="00E67976" w:rsidRDefault="00E67976" w:rsidP="00E67976">
      <w:pPr>
        <w:jc w:val="both"/>
      </w:pPr>
    </w:p>
    <w:p w14:paraId="4AA05F6E" w14:textId="748E22FB" w:rsidR="00E67976" w:rsidRPr="00E67976" w:rsidRDefault="00E67976" w:rsidP="00E67976">
      <w:pPr>
        <w:jc w:val="both"/>
        <w:rPr>
          <w:b/>
          <w:bCs/>
        </w:rPr>
      </w:pPr>
      <w:r w:rsidRPr="00E67976">
        <w:rPr>
          <w:b/>
          <w:bCs/>
        </w:rPr>
        <w:t>Pros for Employees</w:t>
      </w:r>
    </w:p>
    <w:p w14:paraId="4EFC0B8D" w14:textId="3AFDE4B2" w:rsidR="00E67976" w:rsidRDefault="00E67976" w:rsidP="00E67976">
      <w:pPr>
        <w:pStyle w:val="ListParagraph"/>
        <w:numPr>
          <w:ilvl w:val="0"/>
          <w:numId w:val="16"/>
        </w:numPr>
        <w:jc w:val="both"/>
      </w:pPr>
      <w:r>
        <w:t xml:space="preserve">With access to compensation information from their employer, employees can ensure they’re </w:t>
      </w:r>
      <w:r w:rsidR="0084381D">
        <w:t>compensated</w:t>
      </w:r>
      <w:r>
        <w:t xml:space="preserve"> fairly compared to their colleagues, as these laws help to eliminate pay discrimination based on gender, race</w:t>
      </w:r>
      <w:r w:rsidR="0084381D">
        <w:t>,</w:t>
      </w:r>
      <w:r>
        <w:t xml:space="preserve"> or other protected characteristics</w:t>
      </w:r>
      <w:r w:rsidR="0084381D">
        <w:t>.</w:t>
      </w:r>
    </w:p>
    <w:p w14:paraId="558F1DD5" w14:textId="393B5496" w:rsidR="00E67976" w:rsidRDefault="00E67976" w:rsidP="00E67976">
      <w:pPr>
        <w:pStyle w:val="ListParagraph"/>
        <w:numPr>
          <w:ilvl w:val="0"/>
          <w:numId w:val="16"/>
        </w:numPr>
        <w:jc w:val="both"/>
      </w:pPr>
      <w:r>
        <w:t xml:space="preserve">Pay transparency laws also help increase </w:t>
      </w:r>
      <w:proofErr w:type="gramStart"/>
      <w:r>
        <w:t>employee job</w:t>
      </w:r>
      <w:proofErr w:type="gramEnd"/>
      <w:r>
        <w:t xml:space="preserve"> satisfaction, motivation</w:t>
      </w:r>
      <w:r w:rsidR="0084381D">
        <w:t>,</w:t>
      </w:r>
      <w:r>
        <w:t xml:space="preserve"> and engagement because employees feel more valued and appropriately compensated.</w:t>
      </w:r>
    </w:p>
    <w:p w14:paraId="10578B03" w14:textId="513ABDC5" w:rsidR="00E67976" w:rsidRDefault="00E67976" w:rsidP="00E67976">
      <w:pPr>
        <w:pStyle w:val="ListParagraph"/>
        <w:numPr>
          <w:ilvl w:val="0"/>
          <w:numId w:val="16"/>
        </w:numPr>
        <w:jc w:val="both"/>
      </w:pPr>
      <w:r>
        <w:t>Pay transparency also fosters a sense of trust between employees and employers, as workers believe compensation is based on merit and objective criteria.</w:t>
      </w:r>
    </w:p>
    <w:p w14:paraId="097CB0A9" w14:textId="77777777" w:rsidR="00E67976" w:rsidRDefault="00E67976" w:rsidP="00E67976">
      <w:pPr>
        <w:jc w:val="both"/>
      </w:pPr>
    </w:p>
    <w:p w14:paraId="0F91EA36" w14:textId="77777777" w:rsidR="00E67976" w:rsidRPr="00E67976" w:rsidRDefault="00E67976" w:rsidP="00E67976">
      <w:pPr>
        <w:jc w:val="both"/>
        <w:rPr>
          <w:b/>
          <w:bCs/>
        </w:rPr>
      </w:pPr>
      <w:r w:rsidRPr="00E67976">
        <w:rPr>
          <w:b/>
          <w:bCs/>
        </w:rPr>
        <w:t>Pros for Employers</w:t>
      </w:r>
    </w:p>
    <w:p w14:paraId="2E947278" w14:textId="3428C2C1" w:rsidR="00E67976" w:rsidRDefault="00E67976" w:rsidP="00E67976">
      <w:pPr>
        <w:pStyle w:val="ListParagraph"/>
        <w:numPr>
          <w:ilvl w:val="0"/>
          <w:numId w:val="17"/>
        </w:numPr>
        <w:jc w:val="both"/>
      </w:pPr>
      <w:r w:rsidRPr="0084381D">
        <w:rPr>
          <w:u w:val="single"/>
        </w:rPr>
        <w:t>Reduced turnover</w:t>
      </w:r>
      <w:r>
        <w:t>: Because employees may feel like they’re being treated more fairly and compensated adequately, it can help reduce turnover, which can also help employers save on recruitment, training</w:t>
      </w:r>
      <w:r w:rsidR="0084381D">
        <w:t>,</w:t>
      </w:r>
      <w:r>
        <w:t xml:space="preserve"> and onboarding costs.</w:t>
      </w:r>
    </w:p>
    <w:p w14:paraId="23CF24B6" w14:textId="77777777" w:rsidR="00E67976" w:rsidRDefault="00E67976" w:rsidP="00E67976">
      <w:pPr>
        <w:pStyle w:val="ListParagraph"/>
        <w:numPr>
          <w:ilvl w:val="0"/>
          <w:numId w:val="17"/>
        </w:numPr>
        <w:jc w:val="both"/>
      </w:pPr>
      <w:r w:rsidRPr="0084381D">
        <w:rPr>
          <w:u w:val="single"/>
        </w:rPr>
        <w:t>Increased reputation</w:t>
      </w:r>
      <w:r>
        <w:t>: Organizations that comply with a pay transparency law demonstrate their commitment to fairness and equality, which can boost their reputation internally and externally.</w:t>
      </w:r>
    </w:p>
    <w:p w14:paraId="64046665" w14:textId="4C773422" w:rsidR="00E67976" w:rsidRDefault="00E67976" w:rsidP="00E67976">
      <w:pPr>
        <w:pStyle w:val="ListParagraph"/>
        <w:numPr>
          <w:ilvl w:val="0"/>
          <w:numId w:val="17"/>
        </w:numPr>
        <w:jc w:val="both"/>
      </w:pPr>
      <w:r w:rsidRPr="0084381D">
        <w:rPr>
          <w:u w:val="single"/>
        </w:rPr>
        <w:t>Diversity and inclusion</w:t>
      </w:r>
      <w:r>
        <w:t>: Transparency laws also help organizations address any pay disparities.</w:t>
      </w:r>
    </w:p>
    <w:p w14:paraId="17D91A6B" w14:textId="77777777" w:rsidR="00E67976" w:rsidRDefault="00E67976" w:rsidP="00E67976">
      <w:pPr>
        <w:jc w:val="both"/>
      </w:pPr>
    </w:p>
    <w:p w14:paraId="21CBEA7A" w14:textId="5CC01529" w:rsidR="00E67976" w:rsidRPr="00E67976" w:rsidRDefault="00E67976" w:rsidP="00E67976">
      <w:pPr>
        <w:jc w:val="both"/>
        <w:rPr>
          <w:b/>
          <w:bCs/>
        </w:rPr>
      </w:pPr>
      <w:r w:rsidRPr="00E67976">
        <w:rPr>
          <w:b/>
          <w:bCs/>
        </w:rPr>
        <w:t>Cons</w:t>
      </w:r>
    </w:p>
    <w:p w14:paraId="26EF1B52" w14:textId="77777777" w:rsidR="00E67976" w:rsidRDefault="00E67976" w:rsidP="00E67976">
      <w:pPr>
        <w:jc w:val="both"/>
      </w:pPr>
      <w:r>
        <w:t>While pay transparency laws bring many benefits to employers and employees, there are several challenges to note, including:</w:t>
      </w:r>
    </w:p>
    <w:p w14:paraId="3DF7D9D4" w14:textId="77777777" w:rsidR="00E67976" w:rsidRDefault="00E67976" w:rsidP="00E67976">
      <w:pPr>
        <w:jc w:val="both"/>
      </w:pPr>
    </w:p>
    <w:p w14:paraId="4C351923" w14:textId="77777777" w:rsidR="00E67976" w:rsidRDefault="00E67976" w:rsidP="00E67976">
      <w:pPr>
        <w:pStyle w:val="ListParagraph"/>
        <w:numPr>
          <w:ilvl w:val="0"/>
          <w:numId w:val="18"/>
        </w:numPr>
        <w:jc w:val="both"/>
      </w:pPr>
      <w:r>
        <w:t>Disclosing pay information can raise privacy concerns, as some employees might not feel comfortable having their personal financial information shared with their colleagues.</w:t>
      </w:r>
    </w:p>
    <w:p w14:paraId="36F7D8AE" w14:textId="77777777" w:rsidR="00E67976" w:rsidRDefault="00E67976" w:rsidP="00E67976">
      <w:pPr>
        <w:pStyle w:val="ListParagraph"/>
        <w:numPr>
          <w:ilvl w:val="0"/>
          <w:numId w:val="18"/>
        </w:numPr>
        <w:jc w:val="both"/>
      </w:pPr>
      <w:r>
        <w:lastRenderedPageBreak/>
        <w:t>While pay transparency aims to promote fairness and equality, it can foster a sense of jealousy and resentment among employees who perceive disparities in pay, which can create negative work dynamics.</w:t>
      </w:r>
    </w:p>
    <w:p w14:paraId="7845AE21" w14:textId="77777777" w:rsidR="00E67976" w:rsidRDefault="00E67976" w:rsidP="00E67976">
      <w:pPr>
        <w:pStyle w:val="ListParagraph"/>
        <w:numPr>
          <w:ilvl w:val="0"/>
          <w:numId w:val="18"/>
        </w:numPr>
        <w:jc w:val="both"/>
      </w:pPr>
      <w:r>
        <w:t>Adhering to pay transparency laws can be complex, requiring employers to establish clear and consistent compensation structures, which can be time-consuming.</w:t>
      </w:r>
    </w:p>
    <w:p w14:paraId="2509B401" w14:textId="1417E268" w:rsidR="00E67976" w:rsidRDefault="00E67976" w:rsidP="00E67976">
      <w:pPr>
        <w:pStyle w:val="ListParagraph"/>
        <w:numPr>
          <w:ilvl w:val="0"/>
          <w:numId w:val="18"/>
        </w:numPr>
        <w:jc w:val="both"/>
      </w:pPr>
      <w:r>
        <w:t>Causes difficulty with recruitment.</w:t>
      </w:r>
    </w:p>
    <w:p w14:paraId="12C74783" w14:textId="77777777" w:rsidR="00E67976" w:rsidRDefault="00E67976" w:rsidP="00E67976">
      <w:pPr>
        <w:jc w:val="both"/>
      </w:pPr>
    </w:p>
    <w:p w14:paraId="5ADCC3D4" w14:textId="0BFCDE8E" w:rsidR="00E67976" w:rsidRDefault="00E67976" w:rsidP="0084381D">
      <w:pPr>
        <w:jc w:val="center"/>
        <w:rPr>
          <w:b/>
          <w:bCs/>
          <w:color w:val="0070C0"/>
        </w:rPr>
      </w:pPr>
      <w:r w:rsidRPr="00E67976">
        <w:rPr>
          <w:b/>
          <w:bCs/>
          <w:color w:val="0070C0"/>
        </w:rPr>
        <w:t>How to Comply with Pay Transparency Laws</w:t>
      </w:r>
    </w:p>
    <w:p w14:paraId="3AEC0D93" w14:textId="77777777" w:rsidR="0084381D" w:rsidRDefault="0084381D" w:rsidP="00E67976">
      <w:pPr>
        <w:jc w:val="both"/>
      </w:pPr>
    </w:p>
    <w:p w14:paraId="1A9B316C" w14:textId="5830A2DD" w:rsidR="00E67976" w:rsidRDefault="00E67976" w:rsidP="00E67976">
      <w:pPr>
        <w:jc w:val="both"/>
      </w:pPr>
      <w:r>
        <w:t xml:space="preserve">Employers need to start </w:t>
      </w:r>
      <w:r w:rsidR="0084381D">
        <w:t>by</w:t>
      </w:r>
      <w:r>
        <w:t xml:space="preserve"> evaluating and addressing existing compensation structures which can lead to internal dissatisfaction given that employees will see discrepancies between advertised ranges and their own pay.</w:t>
      </w:r>
    </w:p>
    <w:p w14:paraId="4EC3BB8C" w14:textId="77777777" w:rsidR="00E67976" w:rsidRDefault="00E67976" w:rsidP="00E67976">
      <w:pPr>
        <w:jc w:val="both"/>
      </w:pPr>
    </w:p>
    <w:p w14:paraId="45FED65B" w14:textId="5CE4D4D2" w:rsidR="00E67976" w:rsidRDefault="00E67976" w:rsidP="00E67976">
      <w:pPr>
        <w:jc w:val="both"/>
      </w:pPr>
      <w:r>
        <w:t>Unless pay transparency is codified into federal law, employers should anticipate the need to prepare for the trend of pay transparency law</w:t>
      </w:r>
      <w:r w:rsidR="0084381D">
        <w:t>s</w:t>
      </w:r>
      <w:r>
        <w:t xml:space="preserve"> to continue to expand throughout the states, requiring potentially significant adjustments to your compensation structure, internal communication, employee engagement, and development strategies.</w:t>
      </w:r>
    </w:p>
    <w:p w14:paraId="5C723B7F" w14:textId="77777777" w:rsidR="00E67976" w:rsidRDefault="00E67976" w:rsidP="00E67976">
      <w:pPr>
        <w:jc w:val="both"/>
      </w:pPr>
    </w:p>
    <w:p w14:paraId="25615A32" w14:textId="77777777" w:rsidR="00E67976" w:rsidRDefault="00E67976" w:rsidP="00E67976">
      <w:pPr>
        <w:jc w:val="both"/>
      </w:pPr>
      <w:r>
        <w:t>To help avoid penalties and provide employees and applicants with accurate and legally compliant pay information, employers should consider these strategies:</w:t>
      </w:r>
    </w:p>
    <w:p w14:paraId="22CDE896" w14:textId="77777777" w:rsidR="00E67976" w:rsidRDefault="00E67976" w:rsidP="00E67976">
      <w:pPr>
        <w:jc w:val="both"/>
      </w:pPr>
    </w:p>
    <w:p w14:paraId="2D3AD921" w14:textId="77777777" w:rsidR="00E67976" w:rsidRDefault="00E67976" w:rsidP="00E67976">
      <w:pPr>
        <w:pStyle w:val="ListParagraph"/>
        <w:numPr>
          <w:ilvl w:val="0"/>
          <w:numId w:val="19"/>
        </w:numPr>
        <w:jc w:val="both"/>
      </w:pPr>
      <w:r>
        <w:t>Review and update compensation practices and documentation to align with evolving state laws.</w:t>
      </w:r>
    </w:p>
    <w:p w14:paraId="71635DA9" w14:textId="77777777" w:rsidR="00E67976" w:rsidRDefault="00E67976" w:rsidP="00E67976">
      <w:pPr>
        <w:pStyle w:val="ListParagraph"/>
        <w:numPr>
          <w:ilvl w:val="0"/>
          <w:numId w:val="19"/>
        </w:numPr>
        <w:jc w:val="both"/>
      </w:pPr>
      <w:r>
        <w:t>Implement and review internal systems for tracking compensation data.</w:t>
      </w:r>
    </w:p>
    <w:p w14:paraId="7D21E8B5" w14:textId="77777777" w:rsidR="00E67976" w:rsidRDefault="00E67976" w:rsidP="00E67976">
      <w:pPr>
        <w:pStyle w:val="ListParagraph"/>
        <w:numPr>
          <w:ilvl w:val="0"/>
          <w:numId w:val="19"/>
        </w:numPr>
        <w:jc w:val="both"/>
      </w:pPr>
      <w:r>
        <w:t>Evaluate compensation structures and pay strategy to align new job openings with internal pay to mitigate perceived discrepancies.</w:t>
      </w:r>
    </w:p>
    <w:p w14:paraId="06684165" w14:textId="2E3D34DE" w:rsidR="00921474" w:rsidRDefault="00E67976" w:rsidP="00E67976">
      <w:pPr>
        <w:pStyle w:val="ListParagraph"/>
        <w:numPr>
          <w:ilvl w:val="0"/>
          <w:numId w:val="19"/>
        </w:numPr>
        <w:jc w:val="both"/>
      </w:pPr>
      <w:r>
        <w:t>Consider your remote workforce, where you will be posting the job opportunity, and evaluate the specific rules required for each state where you operate.</w:t>
      </w:r>
    </w:p>
    <w:p w14:paraId="4F037FC8" w14:textId="77777777" w:rsidR="00E67976" w:rsidRDefault="00E67976" w:rsidP="00E67976">
      <w:pPr>
        <w:jc w:val="both"/>
      </w:pPr>
    </w:p>
    <w:p w14:paraId="3FDE637C" w14:textId="0CD193A7" w:rsidR="00E67976" w:rsidRDefault="00E67976" w:rsidP="0084381D">
      <w:pPr>
        <w:jc w:val="center"/>
        <w:rPr>
          <w:b/>
          <w:bCs/>
          <w:color w:val="0070C0"/>
        </w:rPr>
      </w:pPr>
      <w:r>
        <w:rPr>
          <w:b/>
          <w:bCs/>
          <w:color w:val="0070C0"/>
        </w:rPr>
        <w:t>Minnesota’s</w:t>
      </w:r>
      <w:r w:rsidRPr="00E67976">
        <w:rPr>
          <w:b/>
          <w:bCs/>
          <w:color w:val="0070C0"/>
        </w:rPr>
        <w:t xml:space="preserve"> Pay Transparency Law</w:t>
      </w:r>
    </w:p>
    <w:p w14:paraId="0754072E" w14:textId="77777777" w:rsidR="0084381D" w:rsidRDefault="0084381D" w:rsidP="00E67976">
      <w:pPr>
        <w:jc w:val="both"/>
        <w:rPr>
          <w:b/>
          <w:bCs/>
        </w:rPr>
      </w:pPr>
    </w:p>
    <w:p w14:paraId="60AE0A57" w14:textId="5F1A1993" w:rsidR="00E67976" w:rsidRPr="00E67976" w:rsidRDefault="00E67976" w:rsidP="00E67976">
      <w:pPr>
        <w:jc w:val="both"/>
        <w:rPr>
          <w:b/>
          <w:bCs/>
        </w:rPr>
      </w:pPr>
      <w:r w:rsidRPr="00E67976">
        <w:rPr>
          <w:b/>
          <w:bCs/>
        </w:rPr>
        <w:t>Who is Covered Under the Law?</w:t>
      </w:r>
    </w:p>
    <w:p w14:paraId="0FCFA059" w14:textId="77777777" w:rsidR="00E67976" w:rsidRDefault="00E67976" w:rsidP="00E67976">
      <w:pPr>
        <w:jc w:val="both"/>
      </w:pPr>
      <w:r>
        <w:t>The law applies to employers with 30 or more employees at one or more sites in Minnesota.  Given this definition, it appears that the law limits its application to employers that have at least 30 employees employed within the state, which differs from other jurisdictions’ pay transparency laws.</w:t>
      </w:r>
    </w:p>
    <w:p w14:paraId="2B4729A9" w14:textId="77777777" w:rsidR="00E67976" w:rsidRDefault="00E67976" w:rsidP="00E67976">
      <w:pPr>
        <w:jc w:val="both"/>
      </w:pPr>
    </w:p>
    <w:p w14:paraId="3A765F9F" w14:textId="416BE0B5" w:rsidR="00E67976" w:rsidRPr="00E67976" w:rsidRDefault="00E67976" w:rsidP="00E67976">
      <w:pPr>
        <w:jc w:val="both"/>
        <w:rPr>
          <w:b/>
          <w:bCs/>
        </w:rPr>
      </w:pPr>
      <w:r w:rsidRPr="00E67976">
        <w:rPr>
          <w:b/>
          <w:bCs/>
        </w:rPr>
        <w:t>What Must Be Disclosed?</w:t>
      </w:r>
    </w:p>
    <w:p w14:paraId="6A3F243C" w14:textId="7ACB92A5" w:rsidR="00E67976" w:rsidRDefault="00E67976" w:rsidP="00E67976">
      <w:pPr>
        <w:jc w:val="both"/>
      </w:pPr>
      <w:r>
        <w:t>Covered employers must disclose the starting salary range for the posted position.  The law defines “salary range” as the minimum and maximum annual salary or hourly range of compensation, based on the employer’s good faith estimate at the time of the posting. An open-ended salary range is expressly prohibited.  If the employer does not plan to offer a salary range, then the employer must instead list a fixed pay rate.</w:t>
      </w:r>
    </w:p>
    <w:p w14:paraId="09DA2C15" w14:textId="77777777" w:rsidR="00E67976" w:rsidRDefault="00E67976" w:rsidP="00E67976">
      <w:pPr>
        <w:jc w:val="both"/>
      </w:pPr>
    </w:p>
    <w:p w14:paraId="135E0AF5" w14:textId="77777777" w:rsidR="00E67976" w:rsidRDefault="00E67976" w:rsidP="00E67976">
      <w:pPr>
        <w:jc w:val="both"/>
      </w:pPr>
      <w:r>
        <w:lastRenderedPageBreak/>
        <w:t xml:space="preserve">Employers must also provide a general description of all benefits and other compensation to be offered to the hired job applicant.  The description of benefits must include, but is not limited to, any health or retirement benefits. </w:t>
      </w:r>
    </w:p>
    <w:p w14:paraId="5BF824D8" w14:textId="77777777" w:rsidR="0084381D" w:rsidRDefault="0084381D" w:rsidP="00E67976">
      <w:pPr>
        <w:jc w:val="both"/>
      </w:pPr>
    </w:p>
    <w:p w14:paraId="550E228A" w14:textId="11D9E7B1" w:rsidR="00E67976" w:rsidRPr="00E67976" w:rsidRDefault="00E67976" w:rsidP="00E67976">
      <w:pPr>
        <w:jc w:val="both"/>
        <w:rPr>
          <w:b/>
          <w:bCs/>
        </w:rPr>
      </w:pPr>
      <w:r w:rsidRPr="00E67976">
        <w:rPr>
          <w:b/>
          <w:bCs/>
        </w:rPr>
        <w:t>What Job Postings Are Covered?</w:t>
      </w:r>
    </w:p>
    <w:p w14:paraId="1A4FEC2A" w14:textId="20A3A8E9" w:rsidR="00E67976" w:rsidRDefault="00E67976" w:rsidP="00E67976">
      <w:pPr>
        <w:jc w:val="both"/>
      </w:pPr>
      <w:r>
        <w:t>“Posting” is broadly defined to include any electronic or printed solicitation intended to recruit job applicants for a specific available position that includes qualifications for desired applicants.  This includes recruitment activities done directly by the employer or indirectly through a third party.</w:t>
      </w:r>
    </w:p>
    <w:p w14:paraId="0723CD8B" w14:textId="77777777" w:rsidR="00E67976" w:rsidRDefault="00E67976" w:rsidP="00E67976">
      <w:pPr>
        <w:jc w:val="both"/>
      </w:pPr>
    </w:p>
    <w:p w14:paraId="6F0CC909" w14:textId="6F9A1E68" w:rsidR="00E67976" w:rsidRPr="00E67976" w:rsidRDefault="00E67976" w:rsidP="00E67976">
      <w:pPr>
        <w:jc w:val="both"/>
        <w:rPr>
          <w:b/>
          <w:bCs/>
        </w:rPr>
      </w:pPr>
      <w:r w:rsidRPr="00E67976">
        <w:rPr>
          <w:b/>
          <w:bCs/>
        </w:rPr>
        <w:t>Enforcement and Potential Damages or Penalties</w:t>
      </w:r>
    </w:p>
    <w:p w14:paraId="5889642A" w14:textId="6617D3DA" w:rsidR="00E67976" w:rsidRDefault="00E67976" w:rsidP="00E67976">
      <w:pPr>
        <w:jc w:val="both"/>
      </w:pPr>
      <w:r>
        <w:t>As it stands, the law does not specify how it will be enforced or list any potential penalties.</w:t>
      </w:r>
      <w:r w:rsidR="0084381D">
        <w:t xml:space="preserve">  </w:t>
      </w:r>
      <w:r>
        <w:t>Generally, however, under Chapter 181 of the Minnesota Statutes, an individual can bring a claim with the Minnesota Department of Labor and Industry</w:t>
      </w:r>
      <w:r w:rsidR="0084381D">
        <w:t>,</w:t>
      </w:r>
      <w:r>
        <w:t xml:space="preserve"> or the </w:t>
      </w:r>
      <w:r w:rsidR="0084381D">
        <w:t>S</w:t>
      </w:r>
      <w:r>
        <w:t xml:space="preserve">tate Attorney General can enforce a violation of the law.  Further, certain statutes under this Chapter allow for a civil private right of action. </w:t>
      </w:r>
      <w:r w:rsidR="0084381D">
        <w:t xml:space="preserve"> </w:t>
      </w:r>
      <w:r>
        <w:t xml:space="preserve">In terms of potential damages or penalties, generally, an employer found to have violated one of the Chapter 181 statutes may be liable for compensatory damages and other appropriate relief, including but not limited to, injunctive relief. </w:t>
      </w:r>
    </w:p>
    <w:p w14:paraId="29D48FE0" w14:textId="77777777" w:rsidR="00E67976" w:rsidRDefault="00E67976" w:rsidP="00E67976">
      <w:pPr>
        <w:jc w:val="both"/>
      </w:pPr>
    </w:p>
    <w:p w14:paraId="5AA05E70" w14:textId="77777777" w:rsidR="00E67976" w:rsidRDefault="00E67976" w:rsidP="00E67976">
      <w:pPr>
        <w:jc w:val="both"/>
      </w:pPr>
      <w:r>
        <w:t>It remains to be seen whether Minnesota will provide additional guidance that specifies how its new pay transparency law will be enforced and the damages or penalties available.</w:t>
      </w:r>
    </w:p>
    <w:p w14:paraId="5553D543" w14:textId="77777777" w:rsidR="00E67976" w:rsidRDefault="00E67976" w:rsidP="00E67976">
      <w:pPr>
        <w:jc w:val="both"/>
      </w:pPr>
    </w:p>
    <w:p w14:paraId="548B45FA" w14:textId="3B273DDE" w:rsidR="00E67976" w:rsidRDefault="00E67976" w:rsidP="00E67976">
      <w:pPr>
        <w:jc w:val="both"/>
      </w:pPr>
      <w:r>
        <w:t xml:space="preserve">Employers in Minnesota should take immediate steps to review and update their job posting processes to comply with the new law by the effective date of January 1, 2025. </w:t>
      </w:r>
      <w:r w:rsidR="0084381D">
        <w:t xml:space="preserve"> </w:t>
      </w:r>
      <w:r>
        <w:t xml:space="preserve">This includes training hiring managers and HR personnel </w:t>
      </w:r>
      <w:proofErr w:type="gramStart"/>
      <w:r>
        <w:t>on</w:t>
      </w:r>
      <w:proofErr w:type="gramEnd"/>
      <w:r>
        <w:t xml:space="preserve"> the requirements and ensuring that third-party recruiting sources are provided with the necessary information to comply with the law.  </w:t>
      </w:r>
    </w:p>
    <w:p w14:paraId="6F9F427D" w14:textId="77777777" w:rsidR="00E67976" w:rsidRDefault="00E67976" w:rsidP="00E67976">
      <w:pPr>
        <w:jc w:val="both"/>
      </w:pPr>
    </w:p>
    <w:p w14:paraId="734F8352" w14:textId="59AA48A3" w:rsidR="00E67976" w:rsidRDefault="00E67976" w:rsidP="0084381D">
      <w:pPr>
        <w:jc w:val="center"/>
        <w:rPr>
          <w:b/>
          <w:bCs/>
          <w:color w:val="0070C0"/>
        </w:rPr>
      </w:pPr>
      <w:r>
        <w:rPr>
          <w:b/>
          <w:bCs/>
          <w:color w:val="0070C0"/>
        </w:rPr>
        <w:t>Steps to Implement</w:t>
      </w:r>
      <w:r w:rsidRPr="00E67976">
        <w:rPr>
          <w:b/>
          <w:bCs/>
          <w:color w:val="0070C0"/>
        </w:rPr>
        <w:t xml:space="preserve"> Pay Transparency</w:t>
      </w:r>
    </w:p>
    <w:p w14:paraId="55578542" w14:textId="77777777" w:rsidR="0084381D" w:rsidRDefault="0084381D" w:rsidP="00E67976">
      <w:pPr>
        <w:jc w:val="both"/>
        <w:rPr>
          <w:b/>
          <w:bCs/>
        </w:rPr>
      </w:pPr>
    </w:p>
    <w:p w14:paraId="0930776C" w14:textId="74B16AB5" w:rsidR="00E67976" w:rsidRPr="00E67976" w:rsidRDefault="00E67976" w:rsidP="00E67976">
      <w:pPr>
        <w:jc w:val="both"/>
        <w:rPr>
          <w:b/>
          <w:bCs/>
        </w:rPr>
      </w:pPr>
      <w:r w:rsidRPr="00E67976">
        <w:rPr>
          <w:b/>
          <w:bCs/>
        </w:rPr>
        <w:t>Step 1: Assess Your Current Compensation Structure</w:t>
      </w:r>
    </w:p>
    <w:p w14:paraId="2362286D" w14:textId="0FF40660" w:rsidR="00E67976" w:rsidRDefault="00E67976" w:rsidP="00E67976">
      <w:pPr>
        <w:jc w:val="both"/>
      </w:pPr>
      <w:r>
        <w:t xml:space="preserve">Conduct a thorough review of your </w:t>
      </w:r>
      <w:proofErr w:type="gramStart"/>
      <w:r>
        <w:t>pay scales</w:t>
      </w:r>
      <w:proofErr w:type="gramEnd"/>
      <w:r w:rsidR="0084381D">
        <w:t xml:space="preserve"> and</w:t>
      </w:r>
      <w:r>
        <w:t xml:space="preserve"> job descriptions and ensure that your pay scales are competitive and fair within your industry. </w:t>
      </w:r>
      <w:r w:rsidR="0084381D">
        <w:t xml:space="preserve"> </w:t>
      </w:r>
      <w:r>
        <w:t xml:space="preserve">Update all job descriptions to have clearly defined roles and responsibilities. </w:t>
      </w:r>
      <w:r w:rsidR="0084381D">
        <w:t xml:space="preserve"> </w:t>
      </w:r>
      <w:r>
        <w:t>Ensure your performance metrics align with compensation for consistency and fairness.</w:t>
      </w:r>
    </w:p>
    <w:p w14:paraId="07B5AE4D" w14:textId="77777777" w:rsidR="00E67976" w:rsidRDefault="00E67976" w:rsidP="00E67976">
      <w:pPr>
        <w:jc w:val="both"/>
      </w:pPr>
    </w:p>
    <w:p w14:paraId="5FEC6523" w14:textId="77777777" w:rsidR="00E67976" w:rsidRPr="00E67976" w:rsidRDefault="00E67976" w:rsidP="00E67976">
      <w:pPr>
        <w:jc w:val="both"/>
        <w:rPr>
          <w:b/>
          <w:bCs/>
        </w:rPr>
      </w:pPr>
      <w:r w:rsidRPr="00E67976">
        <w:rPr>
          <w:b/>
          <w:bCs/>
        </w:rPr>
        <w:t>Step 2: Develop a Transparent Pay Policy</w:t>
      </w:r>
    </w:p>
    <w:p w14:paraId="0AF0CD27" w14:textId="77777777" w:rsidR="00E67976" w:rsidRDefault="00E67976" w:rsidP="00E67976">
      <w:pPr>
        <w:jc w:val="both"/>
      </w:pPr>
      <w:r>
        <w:t>Create a clear and comprehensive pay policy that outlines how salaries are determined, including the factors that influence pay decisions such as experience, education, performance, and market rates.</w:t>
      </w:r>
    </w:p>
    <w:p w14:paraId="52FB180D" w14:textId="77777777" w:rsidR="00E67976" w:rsidRDefault="00E67976" w:rsidP="00E67976">
      <w:pPr>
        <w:jc w:val="both"/>
      </w:pPr>
    </w:p>
    <w:p w14:paraId="05D67E1F" w14:textId="77777777" w:rsidR="00E67976" w:rsidRPr="00E67976" w:rsidRDefault="00E67976" w:rsidP="00E67976">
      <w:pPr>
        <w:jc w:val="both"/>
        <w:rPr>
          <w:b/>
          <w:bCs/>
        </w:rPr>
      </w:pPr>
      <w:r w:rsidRPr="00E67976">
        <w:rPr>
          <w:b/>
          <w:bCs/>
        </w:rPr>
        <w:t>Step 3: Train Managers and HR Staff</w:t>
      </w:r>
    </w:p>
    <w:p w14:paraId="10B1251C" w14:textId="77777777" w:rsidR="00E67976" w:rsidRDefault="00E67976" w:rsidP="00E67976">
      <w:pPr>
        <w:jc w:val="both"/>
      </w:pPr>
      <w:r>
        <w:t>Training is critical to ensure everyone understands the new pay transparency policies and can effectively communicate them to employees.</w:t>
      </w:r>
    </w:p>
    <w:p w14:paraId="76E95F56" w14:textId="77777777" w:rsidR="00E67976" w:rsidRDefault="00E67976" w:rsidP="00E67976">
      <w:pPr>
        <w:jc w:val="both"/>
      </w:pPr>
    </w:p>
    <w:p w14:paraId="71FB60F9" w14:textId="77777777" w:rsidR="00E67976" w:rsidRPr="00E67976" w:rsidRDefault="00E67976" w:rsidP="00E67976">
      <w:pPr>
        <w:jc w:val="both"/>
        <w:rPr>
          <w:b/>
          <w:bCs/>
        </w:rPr>
      </w:pPr>
      <w:r w:rsidRPr="00E67976">
        <w:rPr>
          <w:b/>
          <w:bCs/>
        </w:rPr>
        <w:t>Step 4: Communicate with Employees</w:t>
      </w:r>
    </w:p>
    <w:p w14:paraId="53C41EAD" w14:textId="6A5E6DD2" w:rsidR="00E67976" w:rsidRDefault="00E67976" w:rsidP="00E67976">
      <w:pPr>
        <w:jc w:val="both"/>
      </w:pPr>
      <w:r>
        <w:t xml:space="preserve">Transparent communication is key to the successful implementation of </w:t>
      </w:r>
      <w:proofErr w:type="gramStart"/>
      <w:r>
        <w:t>pay</w:t>
      </w:r>
      <w:proofErr w:type="gramEnd"/>
      <w:r>
        <w:t xml:space="preserve"> transparency.</w:t>
      </w:r>
      <w:r w:rsidR="0084381D">
        <w:t xml:space="preserve"> </w:t>
      </w:r>
      <w:r>
        <w:t xml:space="preserve"> Clearly explain the new pay policies to your employees and provide opportunities for them to ask questions </w:t>
      </w:r>
      <w:r>
        <w:lastRenderedPageBreak/>
        <w:t xml:space="preserve">and provide feedback. </w:t>
      </w:r>
      <w:r w:rsidR="00F614C7">
        <w:t xml:space="preserve"> </w:t>
      </w:r>
      <w:r>
        <w:t>HR can hold informational sessions, have written materials</w:t>
      </w:r>
      <w:r w:rsidR="00F614C7">
        <w:t>,</w:t>
      </w:r>
      <w:r>
        <w:t xml:space="preserve"> and encourage dialogue.</w:t>
      </w:r>
    </w:p>
    <w:p w14:paraId="2DA72B1D" w14:textId="77777777" w:rsidR="0084381D" w:rsidRDefault="0084381D" w:rsidP="00E67976">
      <w:pPr>
        <w:jc w:val="both"/>
      </w:pPr>
    </w:p>
    <w:p w14:paraId="2BE220AE" w14:textId="77777777" w:rsidR="00E67976" w:rsidRPr="00E67976" w:rsidRDefault="00E67976" w:rsidP="00E67976">
      <w:pPr>
        <w:jc w:val="both"/>
        <w:rPr>
          <w:b/>
          <w:bCs/>
        </w:rPr>
      </w:pPr>
      <w:r w:rsidRPr="00E67976">
        <w:rPr>
          <w:b/>
          <w:bCs/>
        </w:rPr>
        <w:t>Step 5: Monitor and Adjust</w:t>
      </w:r>
    </w:p>
    <w:p w14:paraId="21374DB1" w14:textId="43A80A39" w:rsidR="00E67976" w:rsidRDefault="00E67976" w:rsidP="00E67976">
      <w:pPr>
        <w:jc w:val="both"/>
      </w:pPr>
      <w:r>
        <w:t xml:space="preserve">Implementing pay transparency is an ongoing process. </w:t>
      </w:r>
      <w:r w:rsidR="00F614C7">
        <w:t xml:space="preserve"> </w:t>
      </w:r>
      <w:r>
        <w:t>Conduct regular audits and review and adjust your policies and practices to ensure they remain fair and competitive.</w:t>
      </w:r>
    </w:p>
    <w:p w14:paraId="27E539CB" w14:textId="77777777" w:rsidR="00E67976" w:rsidRDefault="00E67976" w:rsidP="00E67976">
      <w:pPr>
        <w:jc w:val="both"/>
      </w:pPr>
    </w:p>
    <w:p w14:paraId="524C0B3F" w14:textId="346DFF02" w:rsidR="00E67976" w:rsidRDefault="00E67976" w:rsidP="0084381D">
      <w:pPr>
        <w:jc w:val="center"/>
        <w:rPr>
          <w:b/>
          <w:bCs/>
          <w:color w:val="0070C0"/>
        </w:rPr>
      </w:pPr>
      <w:r>
        <w:rPr>
          <w:b/>
          <w:bCs/>
          <w:color w:val="0070C0"/>
        </w:rPr>
        <w:t>Manager Training on</w:t>
      </w:r>
      <w:r w:rsidRPr="00E67976">
        <w:rPr>
          <w:b/>
          <w:bCs/>
          <w:color w:val="0070C0"/>
        </w:rPr>
        <w:t xml:space="preserve"> Pay Transparency</w:t>
      </w:r>
    </w:p>
    <w:p w14:paraId="5586E464" w14:textId="77777777" w:rsidR="0084381D" w:rsidRDefault="0084381D" w:rsidP="0084381D">
      <w:pPr>
        <w:jc w:val="center"/>
        <w:rPr>
          <w:b/>
          <w:bCs/>
          <w:color w:val="0070C0"/>
        </w:rPr>
      </w:pPr>
    </w:p>
    <w:p w14:paraId="1AFB486C" w14:textId="090F9F65" w:rsidR="00E67976" w:rsidRDefault="00E67976" w:rsidP="00E67976">
      <w:pPr>
        <w:pStyle w:val="ListParagraph"/>
        <w:numPr>
          <w:ilvl w:val="0"/>
          <w:numId w:val="20"/>
        </w:numPr>
        <w:jc w:val="both"/>
        <w:rPr>
          <w:b/>
          <w:bCs/>
        </w:rPr>
      </w:pPr>
      <w:r w:rsidRPr="00E67976">
        <w:rPr>
          <w:b/>
          <w:bCs/>
        </w:rPr>
        <w:t>Pay transparency should be approached in phases</w:t>
      </w:r>
    </w:p>
    <w:p w14:paraId="7136797A" w14:textId="77777777" w:rsidR="0084381D" w:rsidRPr="00E67976" w:rsidRDefault="0084381D" w:rsidP="0084381D">
      <w:pPr>
        <w:pStyle w:val="ListParagraph"/>
        <w:jc w:val="both"/>
        <w:rPr>
          <w:b/>
          <w:bCs/>
        </w:rPr>
      </w:pPr>
    </w:p>
    <w:p w14:paraId="677767B7" w14:textId="51246BBA" w:rsidR="00E67976" w:rsidRDefault="00E67976" w:rsidP="00E67976">
      <w:pPr>
        <w:pStyle w:val="ListParagraph"/>
        <w:numPr>
          <w:ilvl w:val="1"/>
          <w:numId w:val="20"/>
        </w:numPr>
        <w:jc w:val="both"/>
      </w:pPr>
      <w:proofErr w:type="gramStart"/>
      <w:r>
        <w:t>Remind</w:t>
      </w:r>
      <w:proofErr w:type="gramEnd"/>
      <w:r>
        <w:t xml:space="preserve"> managers that we are responding to legislation but also trying to find a way to solve a problem across our employee base.</w:t>
      </w:r>
      <w:r w:rsidR="00F614C7">
        <w:t xml:space="preserve">  </w:t>
      </w:r>
      <w:r>
        <w:t xml:space="preserve">We need to think about where we want to be and how to get there. </w:t>
      </w:r>
      <w:r w:rsidR="00F614C7">
        <w:t xml:space="preserve"> </w:t>
      </w:r>
      <w:r>
        <w:t xml:space="preserve">Bring </w:t>
      </w:r>
      <w:proofErr w:type="gramStart"/>
      <w:r>
        <w:t>stakeholders in</w:t>
      </w:r>
      <w:proofErr w:type="gramEnd"/>
      <w:r>
        <w:t xml:space="preserve"> first. </w:t>
      </w:r>
      <w:r w:rsidR="00F614C7">
        <w:t xml:space="preserve"> </w:t>
      </w:r>
      <w:r>
        <w:t xml:space="preserve">This is critical to the change management process. </w:t>
      </w:r>
      <w:r w:rsidR="00F614C7">
        <w:t xml:space="preserve"> </w:t>
      </w:r>
      <w:r>
        <w:t>Sometimes</w:t>
      </w:r>
      <w:r w:rsidR="00F614C7">
        <w:t>,</w:t>
      </w:r>
      <w:r>
        <w:t xml:space="preserve"> executives and board members perceive the move toward greater transparency as a risk. </w:t>
      </w:r>
    </w:p>
    <w:p w14:paraId="7914D45B" w14:textId="77777777" w:rsidR="0084381D" w:rsidRDefault="0084381D" w:rsidP="0084381D">
      <w:pPr>
        <w:pStyle w:val="ListParagraph"/>
        <w:ind w:left="1440"/>
        <w:jc w:val="both"/>
      </w:pPr>
    </w:p>
    <w:p w14:paraId="27A18390" w14:textId="72ACBD89" w:rsidR="00E67976" w:rsidRDefault="00E67976" w:rsidP="00E67976">
      <w:pPr>
        <w:pStyle w:val="ListParagraph"/>
        <w:numPr>
          <w:ilvl w:val="1"/>
          <w:numId w:val="20"/>
        </w:numPr>
        <w:jc w:val="both"/>
      </w:pPr>
      <w:r>
        <w:t xml:space="preserve">To bring leaders along in the change management journey, it’s essential to involve them from the beginning. </w:t>
      </w:r>
      <w:r w:rsidR="00F614C7">
        <w:t xml:space="preserve"> </w:t>
      </w:r>
      <w:r>
        <w:t xml:space="preserve">Senior leaders need to understand the approach being taken, and they should be educated and trained like the rest of the leaders and managers. </w:t>
      </w:r>
      <w:r w:rsidR="00F614C7">
        <w:t xml:space="preserve"> </w:t>
      </w:r>
      <w:r>
        <w:t>While it may feel scary to show “how the sausage is made</w:t>
      </w:r>
      <w:r w:rsidR="00F614C7">
        <w:t>,</w:t>
      </w:r>
      <w:r>
        <w:t xml:space="preserve">” it’s critical to be honest about where the </w:t>
      </w:r>
      <w:r w:rsidR="00F614C7">
        <w:t>organization</w:t>
      </w:r>
      <w:r>
        <w:t xml:space="preserve"> is today and where it’s going. </w:t>
      </w:r>
    </w:p>
    <w:p w14:paraId="07943E7E" w14:textId="77777777" w:rsidR="00E67976" w:rsidRDefault="00E67976" w:rsidP="00E67976">
      <w:pPr>
        <w:pStyle w:val="ListParagraph"/>
        <w:ind w:left="1440"/>
        <w:jc w:val="both"/>
      </w:pPr>
    </w:p>
    <w:p w14:paraId="6CC8B1E1" w14:textId="3762ADC6" w:rsidR="00E67976" w:rsidRDefault="00E67976" w:rsidP="00E67976">
      <w:pPr>
        <w:pStyle w:val="ListParagraph"/>
        <w:numPr>
          <w:ilvl w:val="0"/>
          <w:numId w:val="20"/>
        </w:numPr>
        <w:jc w:val="both"/>
        <w:rPr>
          <w:b/>
          <w:bCs/>
        </w:rPr>
      </w:pPr>
      <w:r w:rsidRPr="00E67976">
        <w:rPr>
          <w:b/>
          <w:bCs/>
        </w:rPr>
        <w:t>Examine your compensation structure and philosophy</w:t>
      </w:r>
    </w:p>
    <w:p w14:paraId="05A3A95D" w14:textId="77777777" w:rsidR="0084381D" w:rsidRDefault="0084381D" w:rsidP="0084381D">
      <w:pPr>
        <w:pStyle w:val="ListParagraph"/>
        <w:jc w:val="both"/>
        <w:rPr>
          <w:b/>
          <w:bCs/>
        </w:rPr>
      </w:pPr>
    </w:p>
    <w:p w14:paraId="714435CD" w14:textId="67F03577" w:rsidR="00E67976" w:rsidRPr="0084381D" w:rsidRDefault="00E67976" w:rsidP="00E67976">
      <w:pPr>
        <w:pStyle w:val="ListParagraph"/>
        <w:numPr>
          <w:ilvl w:val="1"/>
          <w:numId w:val="20"/>
        </w:numPr>
        <w:jc w:val="both"/>
        <w:rPr>
          <w:b/>
          <w:bCs/>
        </w:rPr>
      </w:pPr>
      <w:r>
        <w:t xml:space="preserve">To achieve pay transparency, it’s crucial to first build a solid foundation in a well-developed compensation structure. </w:t>
      </w:r>
      <w:r w:rsidR="00F614C7">
        <w:t xml:space="preserve"> </w:t>
      </w:r>
      <w:r>
        <w:t>This will take time and preparation.</w:t>
      </w:r>
    </w:p>
    <w:p w14:paraId="4140583E" w14:textId="77777777" w:rsidR="0084381D" w:rsidRPr="00E67976" w:rsidRDefault="0084381D" w:rsidP="0084381D">
      <w:pPr>
        <w:pStyle w:val="ListParagraph"/>
        <w:ind w:left="1440"/>
        <w:jc w:val="both"/>
        <w:rPr>
          <w:b/>
          <w:bCs/>
        </w:rPr>
      </w:pPr>
    </w:p>
    <w:p w14:paraId="579A1DBE" w14:textId="77777777" w:rsidR="00E67976" w:rsidRPr="00E67976" w:rsidRDefault="00E67976" w:rsidP="00E67976">
      <w:pPr>
        <w:pStyle w:val="ListParagraph"/>
        <w:numPr>
          <w:ilvl w:val="1"/>
          <w:numId w:val="20"/>
        </w:numPr>
        <w:jc w:val="both"/>
        <w:rPr>
          <w:b/>
          <w:bCs/>
        </w:rPr>
      </w:pPr>
      <w:r>
        <w:t xml:space="preserve">Don’t be afraid to test pay ranges and </w:t>
      </w:r>
      <w:proofErr w:type="gramStart"/>
      <w:r>
        <w:t>make adjustments</w:t>
      </w:r>
      <w:proofErr w:type="gramEnd"/>
      <w:r>
        <w:t>.</w:t>
      </w:r>
    </w:p>
    <w:p w14:paraId="7EF655D0" w14:textId="2DA2BF85" w:rsidR="00E67976" w:rsidRPr="00E67976" w:rsidRDefault="00E67976" w:rsidP="00E67976">
      <w:pPr>
        <w:pStyle w:val="ListParagraph"/>
        <w:ind w:left="1440"/>
        <w:jc w:val="both"/>
        <w:rPr>
          <w:b/>
          <w:bCs/>
        </w:rPr>
      </w:pPr>
      <w:r>
        <w:t xml:space="preserve"> </w:t>
      </w:r>
    </w:p>
    <w:p w14:paraId="6A228624" w14:textId="5FB154BA" w:rsidR="00E67976" w:rsidRDefault="00E67976" w:rsidP="00E67976">
      <w:pPr>
        <w:pStyle w:val="ListParagraph"/>
        <w:numPr>
          <w:ilvl w:val="0"/>
          <w:numId w:val="20"/>
        </w:numPr>
        <w:jc w:val="both"/>
        <w:rPr>
          <w:b/>
          <w:bCs/>
        </w:rPr>
      </w:pPr>
      <w:r w:rsidRPr="00E67976">
        <w:rPr>
          <w:b/>
          <w:bCs/>
        </w:rPr>
        <w:t>Give managers the confidence to respond to pay questions and to manage the interview process</w:t>
      </w:r>
    </w:p>
    <w:p w14:paraId="21371F3C" w14:textId="77777777" w:rsidR="0084381D" w:rsidRPr="00E67976" w:rsidRDefault="0084381D" w:rsidP="0084381D">
      <w:pPr>
        <w:pStyle w:val="ListParagraph"/>
        <w:jc w:val="both"/>
        <w:rPr>
          <w:b/>
          <w:bCs/>
        </w:rPr>
      </w:pPr>
    </w:p>
    <w:p w14:paraId="1FE5D88E" w14:textId="77777777" w:rsidR="00E67976" w:rsidRPr="0084381D" w:rsidRDefault="00E67976" w:rsidP="00E67976">
      <w:pPr>
        <w:pStyle w:val="ListParagraph"/>
        <w:numPr>
          <w:ilvl w:val="1"/>
          <w:numId w:val="20"/>
        </w:numPr>
        <w:jc w:val="both"/>
        <w:rPr>
          <w:b/>
          <w:bCs/>
        </w:rPr>
      </w:pPr>
      <w:r>
        <w:t xml:space="preserve">Effective pay transparency training for managers ensures that they have the necessary skills to manage and respond to employee questions about pay and benefits. </w:t>
      </w:r>
    </w:p>
    <w:p w14:paraId="1265E7B9" w14:textId="77777777" w:rsidR="0084381D" w:rsidRPr="00E67976" w:rsidRDefault="0084381D" w:rsidP="0084381D">
      <w:pPr>
        <w:pStyle w:val="ListParagraph"/>
        <w:ind w:left="1440"/>
        <w:jc w:val="both"/>
        <w:rPr>
          <w:b/>
          <w:bCs/>
        </w:rPr>
      </w:pPr>
    </w:p>
    <w:p w14:paraId="3D34056E" w14:textId="4184EE85" w:rsidR="00E67976" w:rsidRPr="0084381D" w:rsidRDefault="00E67976" w:rsidP="00E67976">
      <w:pPr>
        <w:pStyle w:val="ListParagraph"/>
        <w:numPr>
          <w:ilvl w:val="1"/>
          <w:numId w:val="20"/>
        </w:numPr>
        <w:jc w:val="both"/>
        <w:rPr>
          <w:b/>
          <w:bCs/>
        </w:rPr>
      </w:pPr>
      <w:r>
        <w:t>One important aspect of this training is teaching leaders that if an employee asks a question in the moment, it’s okay to pause and say, “I don’t have the answer right now, let me get back to you.</w:t>
      </w:r>
      <w:r w:rsidR="00F614C7">
        <w:t>”</w:t>
      </w:r>
    </w:p>
    <w:p w14:paraId="027F42D1" w14:textId="77777777" w:rsidR="0084381D" w:rsidRPr="0084381D" w:rsidRDefault="0084381D" w:rsidP="0084381D">
      <w:pPr>
        <w:jc w:val="both"/>
        <w:rPr>
          <w:b/>
          <w:bCs/>
        </w:rPr>
      </w:pPr>
    </w:p>
    <w:p w14:paraId="4630EDE8" w14:textId="6640F0E8" w:rsidR="00E67976" w:rsidRPr="0084381D" w:rsidRDefault="00E67976" w:rsidP="00E67976">
      <w:pPr>
        <w:pStyle w:val="ListParagraph"/>
        <w:numPr>
          <w:ilvl w:val="1"/>
          <w:numId w:val="20"/>
        </w:numPr>
        <w:jc w:val="both"/>
        <w:rPr>
          <w:b/>
          <w:bCs/>
        </w:rPr>
      </w:pPr>
      <w:r>
        <w:t>Have a clear path to HR</w:t>
      </w:r>
      <w:r w:rsidR="0084381D">
        <w:t>.</w:t>
      </w:r>
    </w:p>
    <w:p w14:paraId="58766DD8" w14:textId="77777777" w:rsidR="0084381D" w:rsidRPr="0084381D" w:rsidRDefault="0084381D" w:rsidP="0084381D">
      <w:pPr>
        <w:jc w:val="both"/>
        <w:rPr>
          <w:b/>
          <w:bCs/>
        </w:rPr>
      </w:pPr>
    </w:p>
    <w:p w14:paraId="3592C8E7" w14:textId="7B86AD47" w:rsidR="00E67976" w:rsidRPr="0084381D" w:rsidRDefault="00E67976" w:rsidP="00E67976">
      <w:pPr>
        <w:pStyle w:val="ListParagraph"/>
        <w:numPr>
          <w:ilvl w:val="1"/>
          <w:numId w:val="20"/>
        </w:numPr>
        <w:jc w:val="both"/>
        <w:rPr>
          <w:b/>
          <w:bCs/>
        </w:rPr>
      </w:pPr>
      <w:r>
        <w:t xml:space="preserve">Answer the question that managers have which is, “what is the range I should pay my team?” </w:t>
      </w:r>
      <w:r w:rsidR="00F614C7">
        <w:t xml:space="preserve"> </w:t>
      </w:r>
      <w:r>
        <w:t>The most common question from an employee is</w:t>
      </w:r>
      <w:r w:rsidR="00F614C7">
        <w:t>,</w:t>
      </w:r>
      <w:r>
        <w:t xml:space="preserve"> “how do I grow my salary in my pay range?”</w:t>
      </w:r>
    </w:p>
    <w:p w14:paraId="5BCF6F9A" w14:textId="77777777" w:rsidR="0084381D" w:rsidRPr="00E67976" w:rsidRDefault="0084381D" w:rsidP="0084381D">
      <w:pPr>
        <w:pStyle w:val="ListParagraph"/>
        <w:ind w:left="1440"/>
        <w:jc w:val="both"/>
        <w:rPr>
          <w:b/>
          <w:bCs/>
        </w:rPr>
      </w:pPr>
    </w:p>
    <w:p w14:paraId="14F0A5A6" w14:textId="6224B724" w:rsidR="00E67976" w:rsidRPr="00E67976" w:rsidRDefault="00E67976" w:rsidP="00E67976">
      <w:pPr>
        <w:pStyle w:val="ListParagraph"/>
        <w:numPr>
          <w:ilvl w:val="1"/>
          <w:numId w:val="20"/>
        </w:numPr>
        <w:jc w:val="both"/>
        <w:rPr>
          <w:b/>
          <w:bCs/>
        </w:rPr>
      </w:pPr>
      <w:proofErr w:type="gramStart"/>
      <w:r>
        <w:t>Remind</w:t>
      </w:r>
      <w:proofErr w:type="gramEnd"/>
      <w:r>
        <w:t xml:space="preserve"> managers that communications from employees about compensation is an opportunity to see how things are going for them in other areas.</w:t>
      </w:r>
    </w:p>
    <w:p w14:paraId="76811D40" w14:textId="77777777" w:rsidR="00E67976" w:rsidRDefault="00E67976" w:rsidP="00E67976">
      <w:pPr>
        <w:jc w:val="both"/>
      </w:pPr>
    </w:p>
    <w:p w14:paraId="70025085" w14:textId="77777777" w:rsidR="00F614C7" w:rsidRDefault="00F614C7" w:rsidP="00E67976">
      <w:pPr>
        <w:jc w:val="both"/>
      </w:pPr>
    </w:p>
    <w:p w14:paraId="2E5D9C4F" w14:textId="77777777" w:rsidR="00F614C7" w:rsidRDefault="00F614C7" w:rsidP="00E67976">
      <w:pPr>
        <w:jc w:val="both"/>
      </w:pPr>
    </w:p>
    <w:p w14:paraId="78453293" w14:textId="77777777" w:rsidR="00F614C7" w:rsidRDefault="00F614C7" w:rsidP="00E67976">
      <w:pPr>
        <w:jc w:val="both"/>
      </w:pPr>
    </w:p>
    <w:p w14:paraId="4125DE07" w14:textId="77777777" w:rsidR="00F614C7" w:rsidRDefault="00F614C7" w:rsidP="00E67976">
      <w:pPr>
        <w:jc w:val="both"/>
      </w:pPr>
    </w:p>
    <w:p w14:paraId="1E3A54F7" w14:textId="77777777" w:rsidR="00F614C7" w:rsidRDefault="00F614C7" w:rsidP="00E67976">
      <w:pPr>
        <w:jc w:val="both"/>
      </w:pPr>
    </w:p>
    <w:p w14:paraId="23B266E2" w14:textId="77777777" w:rsidR="00F614C7" w:rsidRDefault="00F614C7" w:rsidP="00E67976">
      <w:pPr>
        <w:jc w:val="both"/>
      </w:pPr>
    </w:p>
    <w:p w14:paraId="0E961F09" w14:textId="77777777" w:rsidR="00F614C7" w:rsidRDefault="00F614C7" w:rsidP="00E67976">
      <w:pPr>
        <w:jc w:val="both"/>
      </w:pPr>
    </w:p>
    <w:p w14:paraId="5926D0BF" w14:textId="77777777" w:rsidR="00F614C7" w:rsidRDefault="00F614C7" w:rsidP="00E67976">
      <w:pPr>
        <w:jc w:val="both"/>
      </w:pPr>
    </w:p>
    <w:p w14:paraId="5DA14203" w14:textId="77777777" w:rsidR="00F614C7" w:rsidRDefault="00F614C7" w:rsidP="00E67976">
      <w:pPr>
        <w:jc w:val="both"/>
      </w:pPr>
    </w:p>
    <w:p w14:paraId="0629567B" w14:textId="77777777" w:rsidR="00F614C7" w:rsidRDefault="00F614C7" w:rsidP="00E67976">
      <w:pPr>
        <w:jc w:val="both"/>
      </w:pPr>
    </w:p>
    <w:p w14:paraId="636B23F0" w14:textId="77777777" w:rsidR="00F614C7" w:rsidRDefault="00F614C7" w:rsidP="00E67976">
      <w:pPr>
        <w:jc w:val="both"/>
      </w:pPr>
    </w:p>
    <w:p w14:paraId="5CD1252D" w14:textId="77777777" w:rsidR="00F614C7" w:rsidRDefault="00F614C7" w:rsidP="00E67976">
      <w:pPr>
        <w:jc w:val="both"/>
      </w:pPr>
    </w:p>
    <w:p w14:paraId="688E17E4" w14:textId="77777777" w:rsidR="00F614C7" w:rsidRDefault="00F614C7" w:rsidP="00E67976">
      <w:pPr>
        <w:jc w:val="both"/>
      </w:pPr>
    </w:p>
    <w:p w14:paraId="1600F2FC" w14:textId="77777777" w:rsidR="00F614C7" w:rsidRDefault="00F614C7" w:rsidP="00E67976">
      <w:pPr>
        <w:jc w:val="both"/>
      </w:pPr>
    </w:p>
    <w:p w14:paraId="741034A1" w14:textId="77777777" w:rsidR="00F614C7" w:rsidRDefault="00F614C7" w:rsidP="00E67976">
      <w:pPr>
        <w:jc w:val="both"/>
      </w:pPr>
    </w:p>
    <w:p w14:paraId="7460C915" w14:textId="77777777" w:rsidR="00F614C7" w:rsidRDefault="00F614C7" w:rsidP="00E67976">
      <w:pPr>
        <w:jc w:val="both"/>
      </w:pPr>
    </w:p>
    <w:p w14:paraId="4B2BE3A4" w14:textId="77777777" w:rsidR="00F614C7" w:rsidRDefault="00F614C7" w:rsidP="00E67976">
      <w:pPr>
        <w:jc w:val="both"/>
      </w:pPr>
    </w:p>
    <w:p w14:paraId="2A726654" w14:textId="77777777" w:rsidR="00F614C7" w:rsidRDefault="00F614C7" w:rsidP="00E67976">
      <w:pPr>
        <w:jc w:val="both"/>
      </w:pPr>
    </w:p>
    <w:p w14:paraId="51EAE08D" w14:textId="77777777" w:rsidR="00F614C7" w:rsidRDefault="00F614C7" w:rsidP="00E67976">
      <w:pPr>
        <w:jc w:val="both"/>
      </w:pPr>
    </w:p>
    <w:p w14:paraId="4BA470BE" w14:textId="77777777" w:rsidR="00F614C7" w:rsidRDefault="00F614C7" w:rsidP="00E67976">
      <w:pPr>
        <w:jc w:val="both"/>
      </w:pPr>
    </w:p>
    <w:p w14:paraId="07EB01FB" w14:textId="77777777" w:rsidR="00F614C7" w:rsidRDefault="00F614C7" w:rsidP="00E67976">
      <w:pPr>
        <w:jc w:val="both"/>
      </w:pPr>
    </w:p>
    <w:p w14:paraId="0EFC4D82" w14:textId="77777777" w:rsidR="00F614C7" w:rsidRDefault="00F614C7" w:rsidP="00E67976">
      <w:pPr>
        <w:jc w:val="both"/>
      </w:pPr>
    </w:p>
    <w:p w14:paraId="621030B6" w14:textId="77777777" w:rsidR="00F614C7" w:rsidRDefault="00F614C7" w:rsidP="00E67976">
      <w:pPr>
        <w:jc w:val="both"/>
      </w:pPr>
    </w:p>
    <w:p w14:paraId="1ADCAE04" w14:textId="77777777" w:rsidR="00F614C7" w:rsidRDefault="00F614C7" w:rsidP="00E67976">
      <w:pPr>
        <w:jc w:val="both"/>
      </w:pPr>
    </w:p>
    <w:p w14:paraId="72630573" w14:textId="77777777" w:rsidR="00F614C7" w:rsidRDefault="00F614C7" w:rsidP="00E67976">
      <w:pPr>
        <w:jc w:val="both"/>
      </w:pPr>
    </w:p>
    <w:p w14:paraId="208CAA4E" w14:textId="77777777" w:rsidR="00F614C7" w:rsidRDefault="00F614C7" w:rsidP="00E67976">
      <w:pPr>
        <w:jc w:val="both"/>
      </w:pPr>
    </w:p>
    <w:p w14:paraId="2B34FFA5" w14:textId="77777777" w:rsidR="00F614C7" w:rsidRDefault="00F614C7" w:rsidP="00E67976">
      <w:pPr>
        <w:jc w:val="both"/>
      </w:pPr>
    </w:p>
    <w:p w14:paraId="4A9AC489" w14:textId="77777777" w:rsidR="00F614C7" w:rsidRDefault="00F614C7" w:rsidP="00E67976">
      <w:pPr>
        <w:jc w:val="both"/>
      </w:pPr>
    </w:p>
    <w:p w14:paraId="20908C5F" w14:textId="77777777" w:rsidR="00F614C7" w:rsidRDefault="00F614C7" w:rsidP="00E67976">
      <w:pPr>
        <w:jc w:val="both"/>
      </w:pPr>
    </w:p>
    <w:p w14:paraId="59E78F8C" w14:textId="77777777" w:rsidR="00F614C7" w:rsidRDefault="00F614C7" w:rsidP="00E67976">
      <w:pPr>
        <w:jc w:val="both"/>
      </w:pPr>
    </w:p>
    <w:p w14:paraId="5D385A53" w14:textId="77777777" w:rsidR="00F614C7" w:rsidRDefault="00F614C7" w:rsidP="00E67976">
      <w:pPr>
        <w:jc w:val="both"/>
      </w:pPr>
    </w:p>
    <w:p w14:paraId="397137D1" w14:textId="77777777" w:rsidR="00F614C7" w:rsidRDefault="00F614C7" w:rsidP="00E67976">
      <w:pPr>
        <w:jc w:val="both"/>
      </w:pPr>
    </w:p>
    <w:p w14:paraId="73F15295" w14:textId="77777777" w:rsidR="00F614C7" w:rsidRDefault="00F614C7" w:rsidP="00E67976">
      <w:pPr>
        <w:jc w:val="both"/>
      </w:pPr>
    </w:p>
    <w:p w14:paraId="7596C1EA" w14:textId="77777777" w:rsidR="00F614C7" w:rsidRDefault="00F614C7" w:rsidP="00E67976">
      <w:pPr>
        <w:jc w:val="both"/>
      </w:pPr>
    </w:p>
    <w:p w14:paraId="5225D8AC" w14:textId="77777777" w:rsidR="00F614C7" w:rsidRDefault="00F614C7" w:rsidP="00E67976">
      <w:pPr>
        <w:jc w:val="both"/>
      </w:pPr>
    </w:p>
    <w:p w14:paraId="327F1DCB" w14:textId="77777777" w:rsidR="00F614C7" w:rsidRDefault="00F614C7" w:rsidP="00E67976">
      <w:pPr>
        <w:jc w:val="both"/>
      </w:pPr>
    </w:p>
    <w:p w14:paraId="4594DA84" w14:textId="77777777" w:rsidR="00F614C7" w:rsidRDefault="00F614C7" w:rsidP="00E67976">
      <w:pPr>
        <w:jc w:val="both"/>
      </w:pPr>
    </w:p>
    <w:p w14:paraId="172C6655" w14:textId="77777777" w:rsidR="00F614C7" w:rsidRDefault="00F614C7" w:rsidP="00E67976">
      <w:pPr>
        <w:jc w:val="both"/>
      </w:pPr>
    </w:p>
    <w:p w14:paraId="77078E9F" w14:textId="77777777" w:rsidR="00F614C7" w:rsidRPr="00436DBE" w:rsidRDefault="00F614C7" w:rsidP="00E67976">
      <w:pPr>
        <w:jc w:val="both"/>
      </w:pPr>
    </w:p>
    <w:p w14:paraId="289C1D23" w14:textId="7B0AE0CA" w:rsidR="005C197D" w:rsidRPr="005B7BF0" w:rsidRDefault="005C197D" w:rsidP="005C197D">
      <w:pPr>
        <w:jc w:val="center"/>
        <w:rPr>
          <w:rFonts w:eastAsia="Times New Roman" w:cs="Times New Roman"/>
          <w:i/>
          <w:iCs/>
          <w:sz w:val="20"/>
          <w:szCs w:val="20"/>
        </w:rPr>
      </w:pPr>
      <w:bookmarkStart w:id="0" w:name="_Hlk153199971"/>
      <w:r w:rsidRPr="005B7BF0">
        <w:rPr>
          <w:rFonts w:cs="Times New Roman"/>
          <w:i/>
          <w:iCs/>
          <w:sz w:val="20"/>
          <w:szCs w:val="20"/>
        </w:rPr>
        <w:t>Please note that the information provided is only accurate as of the day posted (</w:t>
      </w:r>
      <w:r w:rsidR="00F614C7">
        <w:rPr>
          <w:rFonts w:cs="Times New Roman"/>
          <w:i/>
          <w:iCs/>
          <w:sz w:val="20"/>
          <w:szCs w:val="20"/>
        </w:rPr>
        <w:t>October 31</w:t>
      </w:r>
      <w:r w:rsidR="00921474">
        <w:rPr>
          <w:rFonts w:cs="Times New Roman"/>
          <w:i/>
          <w:iCs/>
          <w:sz w:val="20"/>
          <w:szCs w:val="20"/>
        </w:rPr>
        <w:t>,</w:t>
      </w:r>
      <w:r>
        <w:rPr>
          <w:rFonts w:cs="Times New Roman"/>
          <w:i/>
          <w:iCs/>
          <w:sz w:val="20"/>
          <w:szCs w:val="20"/>
        </w:rPr>
        <w:t xml:space="preserve"> 2024</w:t>
      </w:r>
      <w:r w:rsidRPr="005B7BF0">
        <w:rPr>
          <w:rFonts w:cs="Times New Roman"/>
          <w:i/>
          <w:iCs/>
          <w:sz w:val="20"/>
          <w:szCs w:val="20"/>
        </w:rPr>
        <w:t>).</w:t>
      </w:r>
      <w:r w:rsidRPr="005B7BF0">
        <w:rPr>
          <w:rFonts w:cs="Times New Roman"/>
          <w:sz w:val="20"/>
          <w:szCs w:val="20"/>
        </w:rPr>
        <w:t xml:space="preserve"> </w:t>
      </w:r>
      <w:r w:rsidRPr="005B7BF0">
        <w:rPr>
          <w:rFonts w:eastAsia="Times New Roman" w:cs="Times New Roman"/>
          <w:i/>
          <w:iCs/>
          <w:sz w:val="20"/>
          <w:szCs w:val="20"/>
        </w:rPr>
        <w:t>The</w:t>
      </w:r>
      <w:r>
        <w:rPr>
          <w:rFonts w:eastAsia="Times New Roman" w:cs="Times New Roman"/>
          <w:i/>
          <w:iCs/>
          <w:sz w:val="20"/>
          <w:szCs w:val="20"/>
        </w:rPr>
        <w:t xml:space="preserve"> </w:t>
      </w:r>
      <w:r w:rsidRPr="005B7BF0">
        <w:rPr>
          <w:rFonts w:eastAsia="Times New Roman" w:cs="Times New Roman"/>
          <w:i/>
          <w:iCs/>
          <w:sz w:val="20"/>
          <w:szCs w:val="20"/>
        </w:rPr>
        <w:t>information provided does not, and is not intended to, constitute legal advice; instead, all information is prepared</w:t>
      </w:r>
      <w:r>
        <w:rPr>
          <w:rFonts w:eastAsia="Times New Roman" w:cs="Times New Roman"/>
          <w:i/>
          <w:iCs/>
          <w:sz w:val="20"/>
          <w:szCs w:val="20"/>
        </w:rPr>
        <w:t xml:space="preserve"> </w:t>
      </w:r>
      <w:r w:rsidRPr="005B7BF0">
        <w:rPr>
          <w:rFonts w:eastAsia="Times New Roman" w:cs="Times New Roman"/>
          <w:i/>
          <w:iCs/>
          <w:sz w:val="20"/>
          <w:szCs w:val="20"/>
        </w:rPr>
        <w:t>and provided for general informational purposes only.</w:t>
      </w:r>
    </w:p>
    <w:p w14:paraId="4F175058" w14:textId="44C74008" w:rsidR="008E1861" w:rsidRPr="00921474" w:rsidRDefault="005C197D" w:rsidP="00921474">
      <w:pPr>
        <w:jc w:val="center"/>
        <w:rPr>
          <w:rFonts w:eastAsia="Calibri" w:cs="Times New Roman"/>
          <w:i/>
          <w:iCs/>
          <w:sz w:val="20"/>
          <w:szCs w:val="20"/>
        </w:rPr>
      </w:pPr>
      <w:r w:rsidRPr="005B7BF0">
        <w:rPr>
          <w:rFonts w:eastAsia="Times New Roman" w:cs="Times New Roman"/>
          <w:i/>
          <w:iCs/>
          <w:sz w:val="20"/>
          <w:szCs w:val="20"/>
        </w:rPr>
        <w:t>Copyright © 202</w:t>
      </w:r>
      <w:r>
        <w:rPr>
          <w:rFonts w:eastAsia="Times New Roman" w:cs="Times New Roman"/>
          <w:i/>
          <w:iCs/>
          <w:sz w:val="20"/>
          <w:szCs w:val="20"/>
        </w:rPr>
        <w:t>4</w:t>
      </w:r>
      <w:r w:rsidRPr="005B7BF0">
        <w:rPr>
          <w:rFonts w:eastAsia="Times New Roman" w:cs="Times New Roman"/>
          <w:i/>
          <w:iCs/>
          <w:sz w:val="20"/>
          <w:szCs w:val="20"/>
        </w:rPr>
        <w:t xml:space="preserve"> Roe Law Group, PLLC, </w:t>
      </w:r>
      <w:proofErr w:type="gramStart"/>
      <w:r w:rsidRPr="005B7BF0">
        <w:rPr>
          <w:rFonts w:eastAsia="Times New Roman" w:cs="Times New Roman"/>
          <w:i/>
          <w:iCs/>
          <w:sz w:val="20"/>
          <w:szCs w:val="20"/>
        </w:rPr>
        <w:t>All</w:t>
      </w:r>
      <w:proofErr w:type="gramEnd"/>
      <w:r w:rsidRPr="005B7BF0">
        <w:rPr>
          <w:rFonts w:eastAsia="Times New Roman" w:cs="Times New Roman"/>
          <w:i/>
          <w:iCs/>
          <w:sz w:val="20"/>
          <w:szCs w:val="20"/>
        </w:rPr>
        <w:t xml:space="preserve"> rights reserved.</w:t>
      </w:r>
      <w:bookmarkEnd w:id="0"/>
    </w:p>
    <w:sectPr w:rsidR="008E1861" w:rsidRPr="00921474" w:rsidSect="0029511A">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739B0" w14:textId="77777777" w:rsidR="005D1383" w:rsidRDefault="005D1383">
      <w:r>
        <w:separator/>
      </w:r>
    </w:p>
  </w:endnote>
  <w:endnote w:type="continuationSeparator" w:id="0">
    <w:p w14:paraId="4656409B" w14:textId="77777777" w:rsidR="005D1383" w:rsidRDefault="005D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287894"/>
      <w:docPartObj>
        <w:docPartGallery w:val="Page Numbers (Bottom of Page)"/>
        <w:docPartUnique/>
      </w:docPartObj>
    </w:sdtPr>
    <w:sdtEndPr>
      <w:rPr>
        <w:noProof/>
      </w:rPr>
    </w:sdtEndPr>
    <w:sdtContent>
      <w:p w14:paraId="6338A4AF" w14:textId="77777777" w:rsidR="00ED77F5" w:rsidRDefault="005D13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12BC9F" w14:textId="77777777" w:rsidR="00ED77F5" w:rsidRDefault="00ED7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BE8F6" w14:textId="77777777" w:rsidR="005D1383" w:rsidRDefault="005D1383">
      <w:r>
        <w:separator/>
      </w:r>
    </w:p>
  </w:footnote>
  <w:footnote w:type="continuationSeparator" w:id="0">
    <w:p w14:paraId="6DCCE7B0" w14:textId="77777777" w:rsidR="005D1383" w:rsidRDefault="005D1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05028" w14:textId="77777777" w:rsidR="00ED77F5" w:rsidRDefault="005D1383" w:rsidP="0029511A">
    <w:pPr>
      <w:tabs>
        <w:tab w:val="center" w:pos="4680"/>
        <w:tab w:val="right" w:pos="9360"/>
      </w:tabs>
      <w:jc w:val="center"/>
    </w:pPr>
    <w:r>
      <w:rPr>
        <w:noProof/>
      </w:rPr>
      <w:drawing>
        <wp:inline distT="0" distB="0" distL="0" distR="0" wp14:anchorId="56093183" wp14:editId="39BD5B50">
          <wp:extent cx="2276475" cy="457200"/>
          <wp:effectExtent l="0" t="0" r="9525" b="0"/>
          <wp:docPr id="1" name="Picture 1" descr="RoeLogo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eLogoLet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457200"/>
                  </a:xfrm>
                  <a:prstGeom prst="rect">
                    <a:avLst/>
                  </a:prstGeom>
                  <a:noFill/>
                  <a:ln>
                    <a:noFill/>
                  </a:ln>
                </pic:spPr>
              </pic:pic>
            </a:graphicData>
          </a:graphic>
        </wp:inline>
      </w:drawing>
    </w:r>
  </w:p>
  <w:p w14:paraId="4E0FFA0E" w14:textId="77777777" w:rsidR="00ED77F5" w:rsidRDefault="00ED77F5" w:rsidP="0029511A">
    <w:pPr>
      <w:tabs>
        <w:tab w:val="center" w:pos="4680"/>
        <w:tab w:val="right" w:pos="9360"/>
      </w:tabs>
    </w:pPr>
  </w:p>
  <w:p w14:paraId="55F8B7A9" w14:textId="77777777" w:rsidR="00ED77F5" w:rsidRDefault="005D1383" w:rsidP="0029511A">
    <w:pPr>
      <w:tabs>
        <w:tab w:val="center" w:pos="4680"/>
        <w:tab w:val="right" w:pos="9360"/>
      </w:tabs>
      <w:rPr>
        <w:rFonts w:cs="Times New Roman"/>
        <w:sz w:val="18"/>
        <w:szCs w:val="18"/>
      </w:rPr>
    </w:pPr>
    <w:r>
      <w:rPr>
        <w:rFonts w:cs="Times New Roman"/>
        <w:sz w:val="18"/>
        <w:szCs w:val="18"/>
      </w:rPr>
      <w:t>Jessica L. Roe</w:t>
    </w:r>
    <w:r>
      <w:rPr>
        <w:rFonts w:cs="Times New Roman"/>
        <w:sz w:val="18"/>
        <w:szCs w:val="18"/>
      </w:rPr>
      <w:tab/>
    </w:r>
    <w:r>
      <w:rPr>
        <w:rFonts w:cs="Times New Roman"/>
        <w:sz w:val="18"/>
        <w:szCs w:val="18"/>
      </w:rPr>
      <w:tab/>
      <w:t>60 South Sixth Street</w:t>
    </w:r>
  </w:p>
  <w:p w14:paraId="41AAC0A9" w14:textId="1D65C723" w:rsidR="00ED77F5" w:rsidRDefault="005D1383" w:rsidP="0029511A">
    <w:pPr>
      <w:tabs>
        <w:tab w:val="center" w:pos="4680"/>
        <w:tab w:val="right" w:pos="9360"/>
      </w:tabs>
      <w:rPr>
        <w:rFonts w:cs="Times New Roman"/>
        <w:sz w:val="18"/>
        <w:szCs w:val="18"/>
      </w:rPr>
    </w:pPr>
    <w:r>
      <w:rPr>
        <w:rFonts w:cs="Times New Roman"/>
        <w:sz w:val="18"/>
        <w:szCs w:val="18"/>
      </w:rPr>
      <w:t>Attorney</w:t>
    </w:r>
    <w:r>
      <w:rPr>
        <w:rFonts w:cs="Times New Roman"/>
        <w:sz w:val="18"/>
        <w:szCs w:val="18"/>
      </w:rPr>
      <w:tab/>
    </w:r>
    <w:r>
      <w:rPr>
        <w:rFonts w:cs="Times New Roman"/>
        <w:sz w:val="18"/>
        <w:szCs w:val="18"/>
      </w:rPr>
      <w:tab/>
      <w:t xml:space="preserve">Suite </w:t>
    </w:r>
    <w:r w:rsidR="00E67976">
      <w:rPr>
        <w:rFonts w:cs="Times New Roman"/>
        <w:sz w:val="18"/>
        <w:szCs w:val="18"/>
      </w:rPr>
      <w:t>2630</w:t>
    </w:r>
  </w:p>
  <w:p w14:paraId="4EADED4F" w14:textId="77777777" w:rsidR="00ED77F5" w:rsidRDefault="005D1383" w:rsidP="0029511A">
    <w:pPr>
      <w:tabs>
        <w:tab w:val="center" w:pos="4680"/>
        <w:tab w:val="right" w:pos="9360"/>
      </w:tabs>
      <w:rPr>
        <w:rFonts w:cs="Times New Roman"/>
        <w:sz w:val="18"/>
        <w:szCs w:val="18"/>
      </w:rPr>
    </w:pPr>
    <w:r>
      <w:rPr>
        <w:rFonts w:cs="Times New Roman"/>
        <w:sz w:val="18"/>
        <w:szCs w:val="18"/>
      </w:rPr>
      <w:tab/>
    </w:r>
    <w:r>
      <w:rPr>
        <w:rFonts w:cs="Times New Roman"/>
        <w:sz w:val="18"/>
        <w:szCs w:val="18"/>
      </w:rPr>
      <w:tab/>
      <w:t>Minneapolis, MN  55402</w:t>
    </w:r>
  </w:p>
  <w:p w14:paraId="0175C858" w14:textId="77777777" w:rsidR="00ED77F5" w:rsidRDefault="005D1383" w:rsidP="0029511A">
    <w:pPr>
      <w:tabs>
        <w:tab w:val="center" w:pos="4680"/>
        <w:tab w:val="right" w:pos="9360"/>
      </w:tabs>
      <w:rPr>
        <w:rFonts w:cs="Times New Roman"/>
        <w:sz w:val="18"/>
        <w:szCs w:val="18"/>
      </w:rPr>
    </w:pPr>
    <w:r>
      <w:rPr>
        <w:rFonts w:cs="Times New Roman"/>
        <w:sz w:val="18"/>
        <w:szCs w:val="18"/>
      </w:rPr>
      <w:t>612-351-8305 (O)</w:t>
    </w:r>
    <w:r>
      <w:rPr>
        <w:rFonts w:cs="Times New Roman"/>
        <w:sz w:val="18"/>
        <w:szCs w:val="18"/>
      </w:rPr>
      <w:tab/>
    </w:r>
    <w:r>
      <w:rPr>
        <w:rFonts w:cs="Times New Roman"/>
        <w:sz w:val="18"/>
        <w:szCs w:val="18"/>
      </w:rPr>
      <w:tab/>
      <w:t>612-351-8300 (O)</w:t>
    </w:r>
  </w:p>
  <w:p w14:paraId="1E9386E0" w14:textId="77777777" w:rsidR="00ED77F5" w:rsidRDefault="005D1383" w:rsidP="0029511A">
    <w:pPr>
      <w:tabs>
        <w:tab w:val="center" w:pos="4680"/>
        <w:tab w:val="right" w:pos="9360"/>
      </w:tabs>
      <w:rPr>
        <w:rFonts w:cs="Times New Roman"/>
        <w:sz w:val="18"/>
        <w:szCs w:val="18"/>
      </w:rPr>
    </w:pPr>
    <w:r>
      <w:rPr>
        <w:rFonts w:cs="Times New Roman"/>
        <w:sz w:val="18"/>
        <w:szCs w:val="18"/>
      </w:rPr>
      <w:t xml:space="preserve">612-810-1807 (C) </w:t>
    </w:r>
    <w:r>
      <w:rPr>
        <w:rFonts w:cs="Times New Roman"/>
        <w:sz w:val="18"/>
        <w:szCs w:val="18"/>
      </w:rPr>
      <w:tab/>
    </w:r>
    <w:r>
      <w:rPr>
        <w:rFonts w:cs="Times New Roman"/>
        <w:sz w:val="18"/>
        <w:szCs w:val="18"/>
      </w:rPr>
      <w:tab/>
      <w:t>612-351-8301 (F)</w:t>
    </w:r>
  </w:p>
  <w:p w14:paraId="1CAA0DFA" w14:textId="77777777" w:rsidR="00ED77F5" w:rsidRDefault="005D1383" w:rsidP="0029511A">
    <w:pPr>
      <w:tabs>
        <w:tab w:val="center" w:pos="4680"/>
        <w:tab w:val="right" w:pos="9360"/>
      </w:tabs>
      <w:rPr>
        <w:rFonts w:cs="Times New Roman"/>
        <w:sz w:val="18"/>
        <w:szCs w:val="18"/>
      </w:rPr>
    </w:pPr>
    <w:r>
      <w:rPr>
        <w:rFonts w:cs="Times New Roman"/>
        <w:sz w:val="18"/>
        <w:szCs w:val="18"/>
      </w:rPr>
      <w:t>jroe@roelawgroup.com</w:t>
    </w:r>
    <w:r>
      <w:rPr>
        <w:rFonts w:cs="Times New Roman"/>
        <w:sz w:val="18"/>
        <w:szCs w:val="18"/>
      </w:rPr>
      <w:tab/>
    </w:r>
    <w:r>
      <w:rPr>
        <w:rFonts w:cs="Times New Roman"/>
        <w:sz w:val="18"/>
        <w:szCs w:val="18"/>
      </w:rPr>
      <w:tab/>
      <w:t>www.roelawgroup.com</w:t>
    </w:r>
  </w:p>
  <w:p w14:paraId="42E7038E" w14:textId="77777777" w:rsidR="00ED77F5" w:rsidRDefault="00ED7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60D52"/>
    <w:multiLevelType w:val="hybridMultilevel"/>
    <w:tmpl w:val="A9A0C920"/>
    <w:lvl w:ilvl="0" w:tplc="631C9864">
      <w:start w:val="1"/>
      <w:numFmt w:val="decimal"/>
      <w:lvlText w:val="%1."/>
      <w:lvlJc w:val="left"/>
      <w:pPr>
        <w:ind w:left="720" w:hanging="360"/>
      </w:pPr>
      <w:rPr>
        <w:b w:val="0"/>
        <w:bCs w:val="0"/>
      </w:rPr>
    </w:lvl>
    <w:lvl w:ilvl="1" w:tplc="5EF2CD62">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6284C"/>
    <w:multiLevelType w:val="multilevel"/>
    <w:tmpl w:val="6C0EE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890575"/>
    <w:multiLevelType w:val="hybridMultilevel"/>
    <w:tmpl w:val="03A87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6580A"/>
    <w:multiLevelType w:val="hybridMultilevel"/>
    <w:tmpl w:val="9F1A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849C5"/>
    <w:multiLevelType w:val="hybridMultilevel"/>
    <w:tmpl w:val="7C1E1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27874"/>
    <w:multiLevelType w:val="hybridMultilevel"/>
    <w:tmpl w:val="AE58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B1AD1"/>
    <w:multiLevelType w:val="multilevel"/>
    <w:tmpl w:val="F3DA7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355BF5"/>
    <w:multiLevelType w:val="multilevel"/>
    <w:tmpl w:val="3CA2A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8A522E"/>
    <w:multiLevelType w:val="hybridMultilevel"/>
    <w:tmpl w:val="C882B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B694A"/>
    <w:multiLevelType w:val="hybridMultilevel"/>
    <w:tmpl w:val="3000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AF2D6C"/>
    <w:multiLevelType w:val="hybridMultilevel"/>
    <w:tmpl w:val="AC58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9430A"/>
    <w:multiLevelType w:val="hybridMultilevel"/>
    <w:tmpl w:val="2E68B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606BE8"/>
    <w:multiLevelType w:val="hybridMultilevel"/>
    <w:tmpl w:val="E6281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D030B0"/>
    <w:multiLevelType w:val="hybridMultilevel"/>
    <w:tmpl w:val="F4F0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DF3679"/>
    <w:multiLevelType w:val="multilevel"/>
    <w:tmpl w:val="E18E9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7D762E"/>
    <w:multiLevelType w:val="hybridMultilevel"/>
    <w:tmpl w:val="242E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B754C1"/>
    <w:multiLevelType w:val="hybridMultilevel"/>
    <w:tmpl w:val="84C2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F1E65"/>
    <w:multiLevelType w:val="hybridMultilevel"/>
    <w:tmpl w:val="5D84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5C0D8C"/>
    <w:multiLevelType w:val="hybridMultilevel"/>
    <w:tmpl w:val="DC3A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C3E11"/>
    <w:multiLevelType w:val="multilevel"/>
    <w:tmpl w:val="A3E658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11870029">
    <w:abstractNumId w:val="11"/>
  </w:num>
  <w:num w:numId="2" w16cid:durableId="1899824916">
    <w:abstractNumId w:val="2"/>
  </w:num>
  <w:num w:numId="3" w16cid:durableId="1077283774">
    <w:abstractNumId w:val="3"/>
  </w:num>
  <w:num w:numId="4" w16cid:durableId="1100298894">
    <w:abstractNumId w:val="7"/>
  </w:num>
  <w:num w:numId="5" w16cid:durableId="1891722519">
    <w:abstractNumId w:val="14"/>
  </w:num>
  <w:num w:numId="6" w16cid:durableId="1067924102">
    <w:abstractNumId w:val="1"/>
  </w:num>
  <w:num w:numId="7" w16cid:durableId="1627006325">
    <w:abstractNumId w:val="19"/>
  </w:num>
  <w:num w:numId="8" w16cid:durableId="1770195741">
    <w:abstractNumId w:val="6"/>
  </w:num>
  <w:num w:numId="9" w16cid:durableId="1644584354">
    <w:abstractNumId w:val="10"/>
  </w:num>
  <w:num w:numId="10" w16cid:durableId="1089891681">
    <w:abstractNumId w:val="13"/>
  </w:num>
  <w:num w:numId="11" w16cid:durableId="134377461">
    <w:abstractNumId w:val="15"/>
  </w:num>
  <w:num w:numId="12" w16cid:durableId="1020855661">
    <w:abstractNumId w:val="12"/>
  </w:num>
  <w:num w:numId="13" w16cid:durableId="124979050">
    <w:abstractNumId w:val="5"/>
  </w:num>
  <w:num w:numId="14" w16cid:durableId="1882865902">
    <w:abstractNumId w:val="8"/>
  </w:num>
  <w:num w:numId="15" w16cid:durableId="1205601044">
    <w:abstractNumId w:val="9"/>
  </w:num>
  <w:num w:numId="16" w16cid:durableId="177935303">
    <w:abstractNumId w:val="17"/>
  </w:num>
  <w:num w:numId="17" w16cid:durableId="711687349">
    <w:abstractNumId w:val="18"/>
  </w:num>
  <w:num w:numId="18" w16cid:durableId="813763850">
    <w:abstractNumId w:val="16"/>
  </w:num>
  <w:num w:numId="19" w16cid:durableId="905839305">
    <w:abstractNumId w:val="4"/>
  </w:num>
  <w:num w:numId="20" w16cid:durableId="106915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97D"/>
    <w:rsid w:val="000003F4"/>
    <w:rsid w:val="0005694D"/>
    <w:rsid w:val="00064474"/>
    <w:rsid w:val="000F1D5E"/>
    <w:rsid w:val="00130844"/>
    <w:rsid w:val="001364FA"/>
    <w:rsid w:val="00155533"/>
    <w:rsid w:val="001A68D4"/>
    <w:rsid w:val="001D65C5"/>
    <w:rsid w:val="00203F82"/>
    <w:rsid w:val="00231C6D"/>
    <w:rsid w:val="0028212B"/>
    <w:rsid w:val="00282E9D"/>
    <w:rsid w:val="002931E9"/>
    <w:rsid w:val="002A6116"/>
    <w:rsid w:val="002B2592"/>
    <w:rsid w:val="002E03EE"/>
    <w:rsid w:val="003163B2"/>
    <w:rsid w:val="00324DB5"/>
    <w:rsid w:val="00341A24"/>
    <w:rsid w:val="00364079"/>
    <w:rsid w:val="0037289C"/>
    <w:rsid w:val="00376B99"/>
    <w:rsid w:val="0038716D"/>
    <w:rsid w:val="003A7114"/>
    <w:rsid w:val="003A7696"/>
    <w:rsid w:val="003B56D9"/>
    <w:rsid w:val="003C11CD"/>
    <w:rsid w:val="003D1E77"/>
    <w:rsid w:val="003F25E4"/>
    <w:rsid w:val="00417B40"/>
    <w:rsid w:val="0042305C"/>
    <w:rsid w:val="004450E4"/>
    <w:rsid w:val="00466F27"/>
    <w:rsid w:val="00467456"/>
    <w:rsid w:val="004816A1"/>
    <w:rsid w:val="004A634B"/>
    <w:rsid w:val="004A7855"/>
    <w:rsid w:val="0052388E"/>
    <w:rsid w:val="005426C0"/>
    <w:rsid w:val="005731E9"/>
    <w:rsid w:val="005A5008"/>
    <w:rsid w:val="005C197D"/>
    <w:rsid w:val="005C4E8B"/>
    <w:rsid w:val="005D1383"/>
    <w:rsid w:val="005E3433"/>
    <w:rsid w:val="0062444B"/>
    <w:rsid w:val="006310FF"/>
    <w:rsid w:val="006655C5"/>
    <w:rsid w:val="006672CC"/>
    <w:rsid w:val="00671365"/>
    <w:rsid w:val="00676660"/>
    <w:rsid w:val="006979F6"/>
    <w:rsid w:val="006A4331"/>
    <w:rsid w:val="006F00B2"/>
    <w:rsid w:val="0072083F"/>
    <w:rsid w:val="007B3428"/>
    <w:rsid w:val="00814E84"/>
    <w:rsid w:val="00827C51"/>
    <w:rsid w:val="00827C92"/>
    <w:rsid w:val="0084381D"/>
    <w:rsid w:val="00843E5E"/>
    <w:rsid w:val="00880355"/>
    <w:rsid w:val="008E1861"/>
    <w:rsid w:val="008F07F9"/>
    <w:rsid w:val="00921474"/>
    <w:rsid w:val="009406AF"/>
    <w:rsid w:val="009F4DBB"/>
    <w:rsid w:val="00A07231"/>
    <w:rsid w:val="00A45ADD"/>
    <w:rsid w:val="00A55937"/>
    <w:rsid w:val="00A56579"/>
    <w:rsid w:val="00A852F8"/>
    <w:rsid w:val="00A967CD"/>
    <w:rsid w:val="00AA21A9"/>
    <w:rsid w:val="00AA25AE"/>
    <w:rsid w:val="00AB7D54"/>
    <w:rsid w:val="00AD3305"/>
    <w:rsid w:val="00AD4754"/>
    <w:rsid w:val="00B80ED6"/>
    <w:rsid w:val="00B86EC4"/>
    <w:rsid w:val="00BA48CC"/>
    <w:rsid w:val="00BF6E2D"/>
    <w:rsid w:val="00C87B81"/>
    <w:rsid w:val="00C95070"/>
    <w:rsid w:val="00D844B4"/>
    <w:rsid w:val="00D97F7D"/>
    <w:rsid w:val="00DA4D34"/>
    <w:rsid w:val="00DB2144"/>
    <w:rsid w:val="00DB2BED"/>
    <w:rsid w:val="00DB5BE0"/>
    <w:rsid w:val="00E41D2E"/>
    <w:rsid w:val="00E67976"/>
    <w:rsid w:val="00E87F3E"/>
    <w:rsid w:val="00ED77F5"/>
    <w:rsid w:val="00ED7AE2"/>
    <w:rsid w:val="00EE2CF5"/>
    <w:rsid w:val="00F20DF9"/>
    <w:rsid w:val="00F4165F"/>
    <w:rsid w:val="00F614C7"/>
    <w:rsid w:val="00F64032"/>
    <w:rsid w:val="00FC15EE"/>
    <w:rsid w:val="00FF1459"/>
    <w:rsid w:val="00FF1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74B9"/>
  <w15:chartTrackingRefBased/>
  <w15:docId w15:val="{065CE4DA-D03E-487F-9215-0CE2DC3D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97D"/>
    <w:pPr>
      <w:spacing w:after="0" w:line="240" w:lineRule="auto"/>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97D"/>
    <w:pPr>
      <w:tabs>
        <w:tab w:val="center" w:pos="4680"/>
        <w:tab w:val="right" w:pos="9360"/>
      </w:tabs>
    </w:pPr>
  </w:style>
  <w:style w:type="character" w:customStyle="1" w:styleId="HeaderChar">
    <w:name w:val="Header Char"/>
    <w:basedOn w:val="DefaultParagraphFont"/>
    <w:link w:val="Header"/>
    <w:uiPriority w:val="99"/>
    <w:rsid w:val="005C197D"/>
    <w:rPr>
      <w:rFonts w:ascii="Times New Roman" w:hAnsi="Times New Roman"/>
      <w:kern w:val="0"/>
      <w:sz w:val="24"/>
      <w14:ligatures w14:val="none"/>
    </w:rPr>
  </w:style>
  <w:style w:type="paragraph" w:styleId="Footer">
    <w:name w:val="footer"/>
    <w:basedOn w:val="Normal"/>
    <w:link w:val="FooterChar"/>
    <w:uiPriority w:val="99"/>
    <w:unhideWhenUsed/>
    <w:rsid w:val="005C197D"/>
    <w:pPr>
      <w:tabs>
        <w:tab w:val="center" w:pos="4680"/>
        <w:tab w:val="right" w:pos="9360"/>
      </w:tabs>
    </w:pPr>
  </w:style>
  <w:style w:type="character" w:customStyle="1" w:styleId="FooterChar">
    <w:name w:val="Footer Char"/>
    <w:basedOn w:val="DefaultParagraphFont"/>
    <w:link w:val="Footer"/>
    <w:uiPriority w:val="99"/>
    <w:rsid w:val="005C197D"/>
    <w:rPr>
      <w:rFonts w:ascii="Times New Roman" w:hAnsi="Times New Roman"/>
      <w:kern w:val="0"/>
      <w:sz w:val="24"/>
      <w14:ligatures w14:val="none"/>
    </w:rPr>
  </w:style>
  <w:style w:type="paragraph" w:styleId="ListParagraph">
    <w:name w:val="List Paragraph"/>
    <w:basedOn w:val="Normal"/>
    <w:uiPriority w:val="34"/>
    <w:qFormat/>
    <w:rsid w:val="005C197D"/>
    <w:pPr>
      <w:ind w:left="720"/>
      <w:contextualSpacing/>
    </w:pPr>
  </w:style>
  <w:style w:type="character" w:styleId="Hyperlink">
    <w:name w:val="Hyperlink"/>
    <w:basedOn w:val="DefaultParagraphFont"/>
    <w:uiPriority w:val="99"/>
    <w:unhideWhenUsed/>
    <w:rsid w:val="003163B2"/>
    <w:rPr>
      <w:color w:val="0563C1" w:themeColor="hyperlink"/>
      <w:u w:val="single"/>
    </w:rPr>
  </w:style>
  <w:style w:type="character" w:styleId="UnresolvedMention">
    <w:name w:val="Unresolved Mention"/>
    <w:basedOn w:val="DefaultParagraphFont"/>
    <w:uiPriority w:val="99"/>
    <w:semiHidden/>
    <w:unhideWhenUsed/>
    <w:rsid w:val="003163B2"/>
    <w:rPr>
      <w:color w:val="605E5C"/>
      <w:shd w:val="clear" w:color="auto" w:fill="E1DFDD"/>
    </w:rPr>
  </w:style>
  <w:style w:type="table" w:styleId="TableGrid">
    <w:name w:val="Table Grid"/>
    <w:basedOn w:val="TableNormal"/>
    <w:uiPriority w:val="39"/>
    <w:rsid w:val="00E67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688728">
      <w:bodyDiv w:val="1"/>
      <w:marLeft w:val="0"/>
      <w:marRight w:val="0"/>
      <w:marTop w:val="0"/>
      <w:marBottom w:val="0"/>
      <w:divBdr>
        <w:top w:val="none" w:sz="0" w:space="0" w:color="auto"/>
        <w:left w:val="none" w:sz="0" w:space="0" w:color="auto"/>
        <w:bottom w:val="none" w:sz="0" w:space="0" w:color="auto"/>
        <w:right w:val="none" w:sz="0" w:space="0" w:color="auto"/>
      </w:divBdr>
    </w:div>
    <w:div w:id="18166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Kysa McDuffie</dc:creator>
  <cp:keywords/>
  <dc:description/>
  <cp:lastModifiedBy>Nick Beckman</cp:lastModifiedBy>
  <cp:revision>2</cp:revision>
  <dcterms:created xsi:type="dcterms:W3CDTF">2024-10-31T19:22:00Z</dcterms:created>
  <dcterms:modified xsi:type="dcterms:W3CDTF">2024-10-31T19:22:00Z</dcterms:modified>
</cp:coreProperties>
</file>