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F5B21" w14:textId="59EEA351" w:rsidR="006A2F5F" w:rsidRDefault="006A2F5F" w:rsidP="00F47D12">
      <w:pPr>
        <w:jc w:val="center"/>
        <w:rPr>
          <w:b/>
          <w:bCs/>
        </w:rPr>
      </w:pPr>
      <w:r>
        <w:rPr>
          <w:b/>
          <w:bCs/>
        </w:rPr>
        <w:t>Cheat Sheet: Minnesota Earned Sick and Safe Time (ESST) Compliance</w:t>
      </w:r>
    </w:p>
    <w:p w14:paraId="14C65454" w14:textId="6DC91B9B" w:rsidR="006A2F5F" w:rsidRDefault="006A2F5F" w:rsidP="00F47D12">
      <w:pPr>
        <w:jc w:val="both"/>
        <w:rPr>
          <w:b/>
          <w:bCs/>
        </w:rPr>
      </w:pPr>
    </w:p>
    <w:p w14:paraId="57350AA2" w14:textId="39B809B1" w:rsidR="00245B92" w:rsidRPr="00245B92" w:rsidRDefault="00245B92" w:rsidP="00F47D12">
      <w:pPr>
        <w:jc w:val="both"/>
      </w:pPr>
      <w:r w:rsidRPr="00245B92">
        <w:rPr>
          <w:b/>
          <w:bCs/>
        </w:rPr>
        <w:t>Effective Date:</w:t>
      </w:r>
      <w:r>
        <w:t xml:space="preserve"> January 1, 2024</w:t>
      </w:r>
    </w:p>
    <w:p w14:paraId="6867B64A" w14:textId="77777777" w:rsidR="00245B92" w:rsidRDefault="00245B92" w:rsidP="00F47D12">
      <w:pPr>
        <w:jc w:val="both"/>
        <w:rPr>
          <w:b/>
          <w:bCs/>
        </w:rPr>
      </w:pPr>
    </w:p>
    <w:p w14:paraId="1E546568" w14:textId="77777777" w:rsidR="00436DBE" w:rsidRDefault="006A2F5F" w:rsidP="00F47D12">
      <w:pPr>
        <w:jc w:val="both"/>
        <w:rPr>
          <w:rFonts w:eastAsia="Times New Roman" w:cs="Times New Roman"/>
          <w:bCs/>
          <w:szCs w:val="24"/>
        </w:rPr>
      </w:pPr>
      <w:r>
        <w:rPr>
          <w:b/>
          <w:bCs/>
        </w:rPr>
        <w:t>Coverage</w:t>
      </w:r>
      <w:r>
        <w:t xml:space="preserve">: </w:t>
      </w:r>
      <w:r w:rsidR="00436DBE" w:rsidRPr="00126024">
        <w:rPr>
          <w:rFonts w:eastAsia="Times New Roman" w:cs="Times New Roman"/>
          <w:bCs/>
          <w:szCs w:val="24"/>
        </w:rPr>
        <w:t xml:space="preserve">This policy only applies to </w:t>
      </w:r>
      <w:r w:rsidR="00436DBE">
        <w:rPr>
          <w:rFonts w:eastAsia="Times New Roman" w:cs="Times New Roman"/>
          <w:bCs/>
          <w:szCs w:val="24"/>
        </w:rPr>
        <w:t>employee</w:t>
      </w:r>
      <w:r w:rsidR="00436DBE" w:rsidRPr="00126024">
        <w:rPr>
          <w:rFonts w:eastAsia="Times New Roman" w:cs="Times New Roman"/>
          <w:bCs/>
          <w:szCs w:val="24"/>
        </w:rPr>
        <w:t xml:space="preserve">s (including part-time and temporary </w:t>
      </w:r>
      <w:r w:rsidR="00436DBE">
        <w:rPr>
          <w:rFonts w:eastAsia="Times New Roman" w:cs="Times New Roman"/>
          <w:bCs/>
          <w:szCs w:val="24"/>
        </w:rPr>
        <w:t>employee</w:t>
      </w:r>
      <w:r w:rsidR="00436DBE" w:rsidRPr="00126024">
        <w:rPr>
          <w:rFonts w:eastAsia="Times New Roman" w:cs="Times New Roman"/>
          <w:bCs/>
          <w:szCs w:val="24"/>
        </w:rPr>
        <w:t xml:space="preserve">s) who perform work for at least 80 hours in a year for </w:t>
      </w:r>
      <w:r w:rsidR="00436DBE">
        <w:rPr>
          <w:rFonts w:eastAsia="Times New Roman" w:cs="Times New Roman"/>
          <w:bCs/>
          <w:szCs w:val="24"/>
        </w:rPr>
        <w:t>the employer</w:t>
      </w:r>
      <w:r w:rsidR="00436DBE" w:rsidRPr="00126024">
        <w:rPr>
          <w:rFonts w:eastAsia="Times New Roman" w:cs="Times New Roman"/>
          <w:bCs/>
          <w:szCs w:val="24"/>
        </w:rPr>
        <w:t xml:space="preserve"> in Minnesota. </w:t>
      </w:r>
    </w:p>
    <w:p w14:paraId="417263A5" w14:textId="77777777" w:rsidR="001B6AF0" w:rsidRDefault="001B6AF0" w:rsidP="00F47D12">
      <w:pPr>
        <w:jc w:val="both"/>
      </w:pPr>
    </w:p>
    <w:p w14:paraId="257FCB1E" w14:textId="6C52B261" w:rsidR="006C6F97" w:rsidRDefault="006A2F5F" w:rsidP="00F47D12">
      <w:pPr>
        <w:jc w:val="both"/>
      </w:pPr>
      <w:r>
        <w:t xml:space="preserve">Federal employees and independent contractors are </w:t>
      </w:r>
      <w:r w:rsidRPr="00245B92">
        <w:rPr>
          <w:b/>
          <w:bCs/>
          <w:u w:val="single"/>
        </w:rPr>
        <w:t>not</w:t>
      </w:r>
      <w:r>
        <w:t xml:space="preserve"> covered by Minnesota’s ESST law. </w:t>
      </w:r>
      <w:r w:rsidR="00245B92">
        <w:t xml:space="preserve">Employees who do not live in Minnesota, but who work at least eighty (80) hours in Minnesota per year, are still eligible </w:t>
      </w:r>
      <w:r w:rsidR="006C6F97">
        <w:t xml:space="preserve">for </w:t>
      </w:r>
      <w:r w:rsidR="00245B92">
        <w:t xml:space="preserve">ESST for the time worked in Minnesota. </w:t>
      </w:r>
    </w:p>
    <w:p w14:paraId="3B922A00" w14:textId="71621817" w:rsidR="00F47D12" w:rsidRDefault="00F47D12" w:rsidP="00F47D12">
      <w:pPr>
        <w:jc w:val="both"/>
      </w:pPr>
    </w:p>
    <w:p w14:paraId="5B431F3E" w14:textId="01F7DD0C" w:rsidR="00F47D12" w:rsidRDefault="00E90D65" w:rsidP="00F47D12">
      <w:pPr>
        <w:jc w:val="both"/>
      </w:pPr>
      <w:r>
        <w:rPr>
          <w:b/>
          <w:bCs/>
        </w:rPr>
        <w:t xml:space="preserve">Definition of </w:t>
      </w:r>
      <w:r w:rsidRPr="00E90D65">
        <w:rPr>
          <w:b/>
          <w:bCs/>
        </w:rPr>
        <w:t>Year</w:t>
      </w:r>
      <w:r>
        <w:t>: Under ESST, o</w:t>
      </w:r>
      <w:r w:rsidR="00F47D12" w:rsidRPr="00E90D65">
        <w:t>ne</w:t>
      </w:r>
      <w:r w:rsidR="00F47D12">
        <w:t xml:space="preserve"> year is </w:t>
      </w:r>
      <w:r>
        <w:t xml:space="preserve">defined as </w:t>
      </w:r>
      <w:r w:rsidR="00F47D12">
        <w:t>any consecutive 12-month period of time determined by an employer and communicated to the employees.</w:t>
      </w:r>
      <w:r>
        <w:t xml:space="preserve"> This</w:t>
      </w:r>
      <w:r w:rsidR="00F47D12">
        <w:t xml:space="preserve"> </w:t>
      </w:r>
      <w:r>
        <w:t xml:space="preserve">may be fiscal year, calendar year, employment anniversary, or any other year which is adequately defined and communicated to the employee. </w:t>
      </w:r>
      <w:r w:rsidR="00EF7D2E">
        <w:t xml:space="preserve">Regardless, an employer must comply with ESST beginning January 1, 2024. </w:t>
      </w:r>
    </w:p>
    <w:p w14:paraId="407119B7" w14:textId="77777777" w:rsidR="006C6F97" w:rsidRDefault="006C6F97" w:rsidP="00F47D12">
      <w:pPr>
        <w:jc w:val="both"/>
      </w:pPr>
    </w:p>
    <w:p w14:paraId="52DA0E6B" w14:textId="45F7C726" w:rsidR="006C6F97" w:rsidRDefault="006C6F97" w:rsidP="00F47D12">
      <w:pPr>
        <w:jc w:val="both"/>
      </w:pPr>
      <w:r w:rsidRPr="006A2F5F">
        <w:rPr>
          <w:b/>
          <w:bCs/>
        </w:rPr>
        <w:t>Accrual</w:t>
      </w:r>
      <w:r>
        <w:t xml:space="preserve">: Employees begin accruing ESST on their first day of employment. An employee </w:t>
      </w:r>
      <w:r w:rsidR="000763B8">
        <w:t xml:space="preserve">(regardless of full-time/part-time, exempt/non-exempt status) </w:t>
      </w:r>
      <w:r>
        <w:t xml:space="preserve">is entitled to a minimum of one hour of ESST for every thirty (30) hours worked up to a maximum of forty-eight (48) in one year. An employer may, but is not required to, allow accrual beyond this total. </w:t>
      </w:r>
    </w:p>
    <w:p w14:paraId="12680BF8" w14:textId="77777777" w:rsidR="006C6F97" w:rsidRDefault="006C6F97" w:rsidP="00F47D12">
      <w:pPr>
        <w:jc w:val="both"/>
      </w:pPr>
    </w:p>
    <w:p w14:paraId="14F24B2E" w14:textId="77777777" w:rsidR="006C6F97" w:rsidRDefault="006C6F97" w:rsidP="00F47D12">
      <w:pPr>
        <w:jc w:val="both"/>
        <w:rPr>
          <w:b/>
          <w:bCs/>
        </w:rPr>
      </w:pPr>
      <w:r>
        <w:t xml:space="preserve">According to the Minnesota Department of Labor and Industry, exempt employees are presumed to work forty (40) hours a week for the purposes of accrual. However, the law does not require ESST hours to accrue when an employee is not working (e.g., on vacation or out sick). </w:t>
      </w:r>
    </w:p>
    <w:p w14:paraId="22A5FAE1" w14:textId="77777777" w:rsidR="006C6F97" w:rsidRDefault="006C6F97" w:rsidP="00F47D12">
      <w:pPr>
        <w:jc w:val="both"/>
        <w:rPr>
          <w:b/>
          <w:bCs/>
        </w:rPr>
      </w:pPr>
    </w:p>
    <w:p w14:paraId="7DB0FEA5" w14:textId="32968A51" w:rsidR="005108A0" w:rsidRDefault="006C6F97" w:rsidP="00F47D12">
      <w:pPr>
        <w:jc w:val="both"/>
      </w:pPr>
      <w:r>
        <w:t xml:space="preserve">Hours accrued in one year must carryover to the next year. This carryover </w:t>
      </w:r>
      <w:r w:rsidR="000763B8">
        <w:t xml:space="preserve">(as well as an employee’s overall accrual amount) </w:t>
      </w:r>
      <w:r>
        <w:t xml:space="preserve">may be capped at eighty (80) hours.  </w:t>
      </w:r>
    </w:p>
    <w:p w14:paraId="6E6A8290" w14:textId="77777777" w:rsidR="005108A0" w:rsidRDefault="005108A0" w:rsidP="00F47D12">
      <w:pPr>
        <w:jc w:val="both"/>
      </w:pPr>
    </w:p>
    <w:p w14:paraId="05E6792F" w14:textId="68DB1FF0" w:rsidR="005108A0" w:rsidRDefault="005108A0" w:rsidP="00F47D12">
      <w:pPr>
        <w:jc w:val="both"/>
      </w:pPr>
      <w:r>
        <w:rPr>
          <w:b/>
          <w:bCs/>
        </w:rPr>
        <w:t>Front-loading Alternative</w:t>
      </w:r>
      <w:r>
        <w:t>:</w:t>
      </w:r>
    </w:p>
    <w:p w14:paraId="75C3B14D" w14:textId="5D0F4303" w:rsidR="005108A0" w:rsidRDefault="005108A0" w:rsidP="00F47D12">
      <w:pPr>
        <w:jc w:val="both"/>
      </w:pPr>
      <w:r>
        <w:t xml:space="preserve">An employer has the option to “front-load” an employee’s ESST. In place of requiring an employer to track an employee’s accumulated ESST hours, this option allows the entire benefit to be extended immediately. </w:t>
      </w:r>
    </w:p>
    <w:p w14:paraId="6F75BDC6" w14:textId="77777777" w:rsidR="005108A0" w:rsidRDefault="005108A0" w:rsidP="00F47D12">
      <w:pPr>
        <w:jc w:val="both"/>
      </w:pPr>
    </w:p>
    <w:p w14:paraId="12FE36DD" w14:textId="110A004D" w:rsidR="005108A0" w:rsidRDefault="005108A0" w:rsidP="00F47D12">
      <w:pPr>
        <w:jc w:val="both"/>
      </w:pPr>
      <w:r>
        <w:t>An employer may front</w:t>
      </w:r>
      <w:r w:rsidR="00F47D12">
        <w:t>-</w:t>
      </w:r>
      <w:r>
        <w:t xml:space="preserve">load with </w:t>
      </w:r>
      <w:r w:rsidR="00F47D12">
        <w:t xml:space="preserve">year-end </w:t>
      </w:r>
      <w:r>
        <w:t xml:space="preserve">payout and no carryover. Under this option, the employer may extend </w:t>
      </w:r>
      <w:r w:rsidR="00F47D12">
        <w:t xml:space="preserve">at least </w:t>
      </w:r>
      <w:r>
        <w:t>forty-eight (48) hours at the beginning of the year, permit immediate use of the benefit, and pay out any unused hours at the end of the year.</w:t>
      </w:r>
    </w:p>
    <w:p w14:paraId="3D8B7F59" w14:textId="77777777" w:rsidR="005108A0" w:rsidRDefault="005108A0" w:rsidP="00F47D12">
      <w:pPr>
        <w:jc w:val="both"/>
      </w:pPr>
    </w:p>
    <w:p w14:paraId="2BA1429D" w14:textId="7F877D69" w:rsidR="005108A0" w:rsidRPr="006C6F97" w:rsidRDefault="005108A0" w:rsidP="00F47D12">
      <w:pPr>
        <w:jc w:val="both"/>
      </w:pPr>
      <w:r>
        <w:t>An employer may also front</w:t>
      </w:r>
      <w:r w:rsidR="00F47D12">
        <w:t>-</w:t>
      </w:r>
      <w:r>
        <w:t xml:space="preserve">load with no pay out and no carryover. Under this option, the employer may extend </w:t>
      </w:r>
      <w:r w:rsidR="00F47D12">
        <w:t xml:space="preserve">at least </w:t>
      </w:r>
      <w:r>
        <w:t xml:space="preserve">eighty (80) hours of ESST to an employee and permit immediate use </w:t>
      </w:r>
      <w:r>
        <w:lastRenderedPageBreak/>
        <w:t>of the benefit for qualifying purposes.</w:t>
      </w:r>
      <w:r w:rsidR="00F47D12">
        <w:t xml:space="preserve"> There is no requirement under this option to pay out unused hours.</w:t>
      </w:r>
    </w:p>
    <w:p w14:paraId="31D070EE" w14:textId="24891BBA" w:rsidR="006C6F97" w:rsidRDefault="006C6F97" w:rsidP="00F47D12">
      <w:pPr>
        <w:jc w:val="both"/>
      </w:pPr>
    </w:p>
    <w:p w14:paraId="50D9F706" w14:textId="6DFFAECE" w:rsidR="005108A0" w:rsidRPr="00F47D12" w:rsidRDefault="00F47D12" w:rsidP="00F47D12">
      <w:pPr>
        <w:jc w:val="both"/>
      </w:pPr>
      <w:r>
        <w:rPr>
          <w:b/>
          <w:bCs/>
        </w:rPr>
        <w:t>PTO or Other Paid Leave</w:t>
      </w:r>
      <w:r>
        <w:t xml:space="preserve">: A PTO policy maintained by an employer may satisfy the requirements of ESST to the extent that it is at least as generous to the employee as ESST’s minimum requirements. The employer policy must be consistent with use, notice, and </w:t>
      </w:r>
      <w:r w:rsidR="00EF7D2E">
        <w:t xml:space="preserve">all </w:t>
      </w:r>
      <w:r>
        <w:t xml:space="preserve">other requirements under ESST in addition to providing the requisite hours. </w:t>
      </w:r>
    </w:p>
    <w:p w14:paraId="280A6C00" w14:textId="77777777" w:rsidR="005108A0" w:rsidRDefault="005108A0" w:rsidP="00F47D12">
      <w:pPr>
        <w:jc w:val="both"/>
        <w:rPr>
          <w:b/>
          <w:bCs/>
        </w:rPr>
      </w:pPr>
    </w:p>
    <w:p w14:paraId="6DF67E69" w14:textId="3F6CE36B" w:rsidR="006C6F97" w:rsidRDefault="00AB0ABF" w:rsidP="00F47D12">
      <w:pPr>
        <w:jc w:val="both"/>
        <w:rPr>
          <w:b/>
          <w:bCs/>
        </w:rPr>
      </w:pPr>
      <w:r>
        <w:rPr>
          <w:b/>
          <w:bCs/>
        </w:rPr>
        <w:t xml:space="preserve">Qualifying </w:t>
      </w:r>
      <w:r w:rsidR="006C6F97">
        <w:rPr>
          <w:b/>
          <w:bCs/>
        </w:rPr>
        <w:t>Use</w:t>
      </w:r>
      <w:r w:rsidR="00F47D12">
        <w:rPr>
          <w:b/>
          <w:bCs/>
        </w:rPr>
        <w:t xml:space="preserve"> of ESST</w:t>
      </w:r>
      <w:r w:rsidR="006C6F97">
        <w:rPr>
          <w:b/>
          <w:bCs/>
        </w:rPr>
        <w:t xml:space="preserve">: </w:t>
      </w:r>
    </w:p>
    <w:p w14:paraId="5BE5DA3F" w14:textId="6FE694D3" w:rsidR="00F47D12" w:rsidRPr="00F47D12" w:rsidRDefault="00F47D12" w:rsidP="00F47D12">
      <w:pPr>
        <w:jc w:val="both"/>
      </w:pPr>
      <w:r>
        <w:rPr>
          <w:u w:val="single"/>
        </w:rPr>
        <w:t>Qualifying uses</w:t>
      </w:r>
      <w:r>
        <w:t>:</w:t>
      </w:r>
    </w:p>
    <w:p w14:paraId="0BA2B14E" w14:textId="335EEE39" w:rsidR="005108A0" w:rsidRDefault="005108A0" w:rsidP="00F47D12">
      <w:pPr>
        <w:jc w:val="both"/>
      </w:pPr>
      <w:r>
        <w:t>Employees can use their earned sick and safe time for reasons such as:</w:t>
      </w:r>
    </w:p>
    <w:p w14:paraId="7B78A379" w14:textId="77777777" w:rsidR="005108A0" w:rsidRDefault="005108A0" w:rsidP="00F47D12">
      <w:pPr>
        <w:jc w:val="both"/>
      </w:pPr>
    </w:p>
    <w:p w14:paraId="305B4FA6" w14:textId="76E4F261" w:rsidR="005108A0" w:rsidRDefault="000763B8" w:rsidP="00F47D12">
      <w:pPr>
        <w:pStyle w:val="ListParagraph"/>
        <w:numPr>
          <w:ilvl w:val="0"/>
          <w:numId w:val="1"/>
        </w:numPr>
        <w:jc w:val="both"/>
      </w:pPr>
      <w:r>
        <w:t>T</w:t>
      </w:r>
      <w:r w:rsidR="005108A0">
        <w:t>he employee</w:t>
      </w:r>
      <w:r w:rsidR="00EF7D2E">
        <w:t>’</w:t>
      </w:r>
      <w:r w:rsidR="005108A0">
        <w:t>s mental or physical illness, treatment or preventive care;</w:t>
      </w:r>
    </w:p>
    <w:p w14:paraId="632A98D4" w14:textId="7542F170" w:rsidR="005108A0" w:rsidRDefault="000763B8" w:rsidP="00F47D12">
      <w:pPr>
        <w:pStyle w:val="ListParagraph"/>
        <w:numPr>
          <w:ilvl w:val="0"/>
          <w:numId w:val="1"/>
        </w:numPr>
        <w:jc w:val="both"/>
      </w:pPr>
      <w:r>
        <w:t>A</w:t>
      </w:r>
      <w:r w:rsidR="005108A0">
        <w:t xml:space="preserve"> family member</w:t>
      </w:r>
      <w:r w:rsidR="00EF7D2E">
        <w:t>’</w:t>
      </w:r>
      <w:r w:rsidR="005108A0">
        <w:t>s mental or physical illness, treatment or preventive care;</w:t>
      </w:r>
    </w:p>
    <w:p w14:paraId="51E7B110" w14:textId="2BCB4D69" w:rsidR="005108A0" w:rsidRDefault="000763B8" w:rsidP="00F47D12">
      <w:pPr>
        <w:pStyle w:val="ListParagraph"/>
        <w:numPr>
          <w:ilvl w:val="0"/>
          <w:numId w:val="1"/>
        </w:numPr>
        <w:jc w:val="both"/>
      </w:pPr>
      <w:r>
        <w:t>A</w:t>
      </w:r>
      <w:r w:rsidR="005108A0">
        <w:t>bsence due to domestic abuse, sexual assault or stalking of the employee or a family member;</w:t>
      </w:r>
    </w:p>
    <w:p w14:paraId="21DC8F19" w14:textId="1B93801E" w:rsidR="005108A0" w:rsidRDefault="000763B8" w:rsidP="00F47D12">
      <w:pPr>
        <w:pStyle w:val="ListParagraph"/>
        <w:numPr>
          <w:ilvl w:val="0"/>
          <w:numId w:val="1"/>
        </w:numPr>
        <w:jc w:val="both"/>
      </w:pPr>
      <w:r>
        <w:t>C</w:t>
      </w:r>
      <w:r w:rsidR="005108A0">
        <w:t>losure of the employee</w:t>
      </w:r>
      <w:r w:rsidR="00EF7D2E">
        <w:t>’</w:t>
      </w:r>
      <w:r w:rsidR="005108A0">
        <w:t>s workplace due to weather or public emergency or closure of a family member</w:t>
      </w:r>
      <w:r w:rsidR="00EF7D2E">
        <w:t>’</w:t>
      </w:r>
      <w:r w:rsidR="005108A0">
        <w:t>s school or care facility due to weather or public emergency; and</w:t>
      </w:r>
    </w:p>
    <w:p w14:paraId="3B49ACED" w14:textId="09A5C398" w:rsidR="005108A0" w:rsidRDefault="000763B8" w:rsidP="00F47D12">
      <w:pPr>
        <w:pStyle w:val="ListParagraph"/>
        <w:numPr>
          <w:ilvl w:val="0"/>
          <w:numId w:val="1"/>
        </w:numPr>
        <w:jc w:val="both"/>
      </w:pPr>
      <w:r>
        <w:t>W</w:t>
      </w:r>
      <w:r w:rsidR="005108A0">
        <w:t>hen determined by a health authority or health care professional that the employee or a family member is at risk of infecting others with a communicable disease.</w:t>
      </w:r>
    </w:p>
    <w:p w14:paraId="521FAC3A" w14:textId="274C0DD9" w:rsidR="009216FC" w:rsidRDefault="009216FC" w:rsidP="009216FC">
      <w:pPr>
        <w:jc w:val="both"/>
      </w:pPr>
    </w:p>
    <w:p w14:paraId="2BBC0D08" w14:textId="2A6698DB" w:rsidR="009216FC" w:rsidRDefault="009216FC" w:rsidP="009216FC">
      <w:pPr>
        <w:jc w:val="both"/>
      </w:pPr>
      <w:r>
        <w:t xml:space="preserve">The request for ESST does not need to specifically invoke ESST. </w:t>
      </w:r>
    </w:p>
    <w:p w14:paraId="2E4047CF" w14:textId="158C0875" w:rsidR="005108A0" w:rsidRDefault="005108A0" w:rsidP="00F47D12">
      <w:pPr>
        <w:jc w:val="both"/>
      </w:pPr>
    </w:p>
    <w:p w14:paraId="382D2734" w14:textId="78280BF0" w:rsidR="00F47D12" w:rsidRPr="00F47D12" w:rsidRDefault="00F47D12" w:rsidP="00F47D12">
      <w:pPr>
        <w:jc w:val="both"/>
      </w:pPr>
      <w:r>
        <w:rPr>
          <w:u w:val="single"/>
        </w:rPr>
        <w:t>Family Member</w:t>
      </w:r>
      <w:r>
        <w:t xml:space="preserve">: </w:t>
      </w:r>
    </w:p>
    <w:p w14:paraId="544A2AEF" w14:textId="368658E2" w:rsidR="005108A0" w:rsidRDefault="005108A0" w:rsidP="00F47D12">
      <w:pPr>
        <w:jc w:val="both"/>
      </w:pPr>
      <w:r>
        <w:t>“Family member” is defined very broadly:</w:t>
      </w:r>
    </w:p>
    <w:p w14:paraId="5B0CB08A" w14:textId="10DD8131" w:rsidR="005108A0" w:rsidRDefault="005108A0" w:rsidP="00F47D12">
      <w:pPr>
        <w:jc w:val="both"/>
      </w:pPr>
    </w:p>
    <w:p w14:paraId="1CB1ED39" w14:textId="7F255336" w:rsidR="005108A0" w:rsidRDefault="005108A0" w:rsidP="00F47D12">
      <w:pPr>
        <w:pStyle w:val="ListParagraph"/>
        <w:numPr>
          <w:ilvl w:val="0"/>
          <w:numId w:val="2"/>
        </w:numPr>
        <w:jc w:val="both"/>
      </w:pPr>
      <w:r>
        <w:t>A child (biological, foster, adopted, legal ward, legal guardian, in loco parentis);</w:t>
      </w:r>
    </w:p>
    <w:p w14:paraId="6AC2373A" w14:textId="15B78FFB" w:rsidR="005108A0" w:rsidRDefault="005108A0" w:rsidP="00F47D12">
      <w:pPr>
        <w:pStyle w:val="ListParagraph"/>
        <w:numPr>
          <w:ilvl w:val="0"/>
          <w:numId w:val="2"/>
        </w:numPr>
        <w:jc w:val="both"/>
      </w:pPr>
      <w:r>
        <w:t>A spouse or registered domestic partner;</w:t>
      </w:r>
    </w:p>
    <w:p w14:paraId="011318CE" w14:textId="57763EDA" w:rsidR="005108A0" w:rsidRDefault="005108A0" w:rsidP="00F47D12">
      <w:pPr>
        <w:pStyle w:val="ListParagraph"/>
        <w:numPr>
          <w:ilvl w:val="0"/>
          <w:numId w:val="2"/>
        </w:numPr>
        <w:jc w:val="both"/>
      </w:pPr>
      <w:r>
        <w:t xml:space="preserve">A sibling, </w:t>
      </w:r>
      <w:proofErr w:type="gramStart"/>
      <w:r>
        <w:t>step-sibling</w:t>
      </w:r>
      <w:proofErr w:type="gramEnd"/>
      <w:r>
        <w:t>, or foster sibling;</w:t>
      </w:r>
    </w:p>
    <w:p w14:paraId="6E562315" w14:textId="6681A5D2" w:rsidR="005108A0" w:rsidRDefault="005108A0" w:rsidP="00F47D12">
      <w:pPr>
        <w:pStyle w:val="ListParagraph"/>
        <w:numPr>
          <w:ilvl w:val="0"/>
          <w:numId w:val="2"/>
        </w:numPr>
        <w:jc w:val="both"/>
      </w:pPr>
      <w:r>
        <w:t>A parent (biological, adoptive, foster, or in loco parentis);</w:t>
      </w:r>
    </w:p>
    <w:p w14:paraId="19196C84" w14:textId="16C349A6" w:rsidR="005108A0" w:rsidRDefault="005108A0" w:rsidP="00F47D12">
      <w:pPr>
        <w:pStyle w:val="ListParagraph"/>
        <w:numPr>
          <w:ilvl w:val="0"/>
          <w:numId w:val="2"/>
        </w:numPr>
        <w:jc w:val="both"/>
      </w:pPr>
      <w:r>
        <w:t>A grandchild (biological, foster, or step-);</w:t>
      </w:r>
    </w:p>
    <w:p w14:paraId="5CED2F68" w14:textId="5A4D6ED6" w:rsidR="005108A0" w:rsidRDefault="005108A0" w:rsidP="00F47D12">
      <w:pPr>
        <w:pStyle w:val="ListParagraph"/>
        <w:numPr>
          <w:ilvl w:val="0"/>
          <w:numId w:val="2"/>
        </w:numPr>
        <w:jc w:val="both"/>
      </w:pPr>
      <w:r>
        <w:t>A grandparent or step-grandparent;</w:t>
      </w:r>
    </w:p>
    <w:p w14:paraId="1D3326FC" w14:textId="67A1E9BF" w:rsidR="005108A0" w:rsidRDefault="005108A0" w:rsidP="00F47D12">
      <w:pPr>
        <w:pStyle w:val="ListParagraph"/>
        <w:numPr>
          <w:ilvl w:val="0"/>
          <w:numId w:val="2"/>
        </w:numPr>
        <w:jc w:val="both"/>
      </w:pPr>
      <w:r>
        <w:t>A niece or nephew;</w:t>
      </w:r>
    </w:p>
    <w:p w14:paraId="1E1FE87B" w14:textId="724C7459" w:rsidR="005108A0" w:rsidRDefault="005108A0" w:rsidP="00F47D12">
      <w:pPr>
        <w:pStyle w:val="ListParagraph"/>
        <w:numPr>
          <w:ilvl w:val="0"/>
          <w:numId w:val="2"/>
        </w:numPr>
        <w:jc w:val="both"/>
      </w:pPr>
      <w:r>
        <w:t>An aunt or uncle;</w:t>
      </w:r>
    </w:p>
    <w:p w14:paraId="7A185E5C" w14:textId="013F3AE4" w:rsidR="005108A0" w:rsidRDefault="005108A0" w:rsidP="00F47D12">
      <w:pPr>
        <w:pStyle w:val="ListParagraph"/>
        <w:numPr>
          <w:ilvl w:val="0"/>
          <w:numId w:val="2"/>
        </w:numPr>
        <w:jc w:val="both"/>
      </w:pPr>
      <w:r>
        <w:t>A child- or sibling-in-law;</w:t>
      </w:r>
    </w:p>
    <w:p w14:paraId="71C2F000" w14:textId="677D2D93" w:rsidR="005108A0" w:rsidRDefault="005108A0" w:rsidP="00F47D12">
      <w:pPr>
        <w:pStyle w:val="ListParagraph"/>
        <w:numPr>
          <w:ilvl w:val="0"/>
          <w:numId w:val="2"/>
        </w:numPr>
        <w:jc w:val="both"/>
      </w:pPr>
      <w:r>
        <w:t>Any category above of a spouse or domestic partner;</w:t>
      </w:r>
    </w:p>
    <w:p w14:paraId="484A4734" w14:textId="7CBF2DAB" w:rsidR="005108A0" w:rsidRDefault="005108A0" w:rsidP="00F47D12">
      <w:pPr>
        <w:pStyle w:val="ListParagraph"/>
        <w:numPr>
          <w:ilvl w:val="0"/>
          <w:numId w:val="2"/>
        </w:numPr>
        <w:jc w:val="both"/>
      </w:pPr>
      <w:r>
        <w:t xml:space="preserve">Any individual related by blood or </w:t>
      </w:r>
      <w:r w:rsidR="00F47D12">
        <w:t>with relationship equivalent to that of a family-member;</w:t>
      </w:r>
      <w:r w:rsidR="000763B8">
        <w:t xml:space="preserve"> and</w:t>
      </w:r>
    </w:p>
    <w:p w14:paraId="30841504" w14:textId="374D5884" w:rsidR="00F47D12" w:rsidRDefault="005108A0" w:rsidP="00F47D12">
      <w:pPr>
        <w:pStyle w:val="ListParagraph"/>
        <w:numPr>
          <w:ilvl w:val="0"/>
          <w:numId w:val="2"/>
        </w:numPr>
        <w:jc w:val="both"/>
      </w:pPr>
      <w:r>
        <w:t>Up to one individual annually designated by the employee</w:t>
      </w:r>
      <w:r w:rsidR="000763B8">
        <w:t>.</w:t>
      </w:r>
    </w:p>
    <w:p w14:paraId="3353BDA7" w14:textId="7EFD2829" w:rsidR="00F47D12" w:rsidRDefault="00F47D12" w:rsidP="00F47D12">
      <w:pPr>
        <w:jc w:val="both"/>
      </w:pPr>
    </w:p>
    <w:p w14:paraId="50FA9EDC" w14:textId="05AF6290" w:rsidR="00F47D12" w:rsidRDefault="00F47D12" w:rsidP="00F47D12">
      <w:pPr>
        <w:jc w:val="both"/>
      </w:pPr>
      <w:r>
        <w:rPr>
          <w:u w:val="single"/>
        </w:rPr>
        <w:t>Increment</w:t>
      </w:r>
      <w:r>
        <w:t>:</w:t>
      </w:r>
    </w:p>
    <w:p w14:paraId="36A1FD87" w14:textId="00B21B60" w:rsidR="00F47D12" w:rsidRPr="00F47D12" w:rsidRDefault="00F47D12" w:rsidP="00F47D12">
      <w:pPr>
        <w:jc w:val="both"/>
      </w:pPr>
      <w:r>
        <w:t xml:space="preserve">Employees may use ESST in the smallest increment of time tracked by the employer’s payroll system, or four hours, whichever is smaller. Note that some Minnesota localities require the increment to be one hour. </w:t>
      </w:r>
    </w:p>
    <w:p w14:paraId="46D93326" w14:textId="77777777" w:rsidR="00F47D12" w:rsidRDefault="00F47D12" w:rsidP="00F47D12">
      <w:pPr>
        <w:jc w:val="both"/>
      </w:pPr>
    </w:p>
    <w:p w14:paraId="256A93C3" w14:textId="45A89EAE" w:rsidR="009216FC" w:rsidRPr="009216FC" w:rsidRDefault="00F47D12" w:rsidP="00F47D12">
      <w:pPr>
        <w:jc w:val="both"/>
        <w:rPr>
          <w:u w:val="single"/>
        </w:rPr>
      </w:pPr>
      <w:r w:rsidRPr="00E90D65">
        <w:rPr>
          <w:u w:val="single"/>
        </w:rPr>
        <w:lastRenderedPageBreak/>
        <w:t>Rate</w:t>
      </w:r>
      <w:r w:rsidRPr="00E90D65">
        <w:t>:</w:t>
      </w:r>
      <w:r w:rsidR="00E90D65">
        <w:t xml:space="preserve"> The employee must pay the </w:t>
      </w:r>
      <w:r w:rsidR="00E90D65" w:rsidRPr="00E90D65">
        <w:t>same hourly rate as an employee earns from employment. It must be paid at the rate for the shift for which the leave is used if the rate is variable.</w:t>
      </w:r>
      <w:r w:rsidR="00E90D65">
        <w:rPr>
          <w:u w:val="single"/>
        </w:rPr>
        <w:t xml:space="preserve"> </w:t>
      </w:r>
    </w:p>
    <w:p w14:paraId="4F37AB28" w14:textId="77777777" w:rsidR="009216FC" w:rsidRPr="009216FC" w:rsidRDefault="009216FC" w:rsidP="00F47D12">
      <w:pPr>
        <w:jc w:val="both"/>
      </w:pPr>
    </w:p>
    <w:p w14:paraId="3694E976" w14:textId="0A40F550" w:rsidR="00F47D12" w:rsidRDefault="00E90D65" w:rsidP="00F47D12">
      <w:pPr>
        <w:jc w:val="both"/>
        <w:rPr>
          <w:b/>
          <w:bCs/>
        </w:rPr>
      </w:pPr>
      <w:r>
        <w:rPr>
          <w:b/>
          <w:bCs/>
        </w:rPr>
        <w:t xml:space="preserve">Record-Keeping and </w:t>
      </w:r>
      <w:r w:rsidR="00F47D12">
        <w:rPr>
          <w:b/>
          <w:bCs/>
        </w:rPr>
        <w:t xml:space="preserve">Notice Requirements: </w:t>
      </w:r>
    </w:p>
    <w:p w14:paraId="700FC0B7" w14:textId="1F723B0C" w:rsidR="00F47D12" w:rsidRPr="00E90D65" w:rsidRDefault="00F47D12" w:rsidP="00F47D12">
      <w:pPr>
        <w:jc w:val="both"/>
      </w:pPr>
      <w:r>
        <w:rPr>
          <w:u w:val="single"/>
        </w:rPr>
        <w:t>Employer</w:t>
      </w:r>
      <w:r>
        <w:t xml:space="preserve">: </w:t>
      </w:r>
      <w:r w:rsidR="00E90D65">
        <w:t>Earnings statements, already required under Minnesota law, must begin to include (1) the total number of sick and safe time hours available for use by the employee; and (2) the total number of sick and safe time hours used by the employee in the pay period. Hours worked</w:t>
      </w:r>
      <w:r w:rsidR="00AB0ABF">
        <w:t xml:space="preserve"> and similar records</w:t>
      </w:r>
      <w:r w:rsidR="00E90D65">
        <w:t xml:space="preserve"> must be retained for </w:t>
      </w:r>
      <w:r w:rsidR="00E90D65">
        <w:rPr>
          <w:u w:val="single"/>
        </w:rPr>
        <w:t>three</w:t>
      </w:r>
      <w:r w:rsidR="00E90D65" w:rsidRPr="00E90D65">
        <w:t xml:space="preserve"> ye</w:t>
      </w:r>
      <w:r w:rsidR="00E90D65">
        <w:t xml:space="preserve">ars. </w:t>
      </w:r>
    </w:p>
    <w:p w14:paraId="55542369" w14:textId="17DF5262" w:rsidR="00E90D65" w:rsidRDefault="00E90D65" w:rsidP="00F47D12">
      <w:pPr>
        <w:jc w:val="both"/>
      </w:pPr>
    </w:p>
    <w:p w14:paraId="744A92BF" w14:textId="2B2FD078" w:rsidR="00EF7D2E" w:rsidRDefault="00E90D65" w:rsidP="00EF7D2E">
      <w:pPr>
        <w:jc w:val="both"/>
      </w:pPr>
      <w:r>
        <w:t>The employer must provide, in English and the primary language of the employee, notice of</w:t>
      </w:r>
      <w:r w:rsidR="00AB0ABF">
        <w:t>:</w:t>
      </w:r>
      <w:r>
        <w:t xml:space="preserve"> </w:t>
      </w:r>
    </w:p>
    <w:p w14:paraId="645D49B5" w14:textId="77777777" w:rsidR="000763B8" w:rsidRDefault="000763B8" w:rsidP="00EF7D2E">
      <w:pPr>
        <w:jc w:val="both"/>
      </w:pPr>
    </w:p>
    <w:p w14:paraId="2A631F53" w14:textId="5CE15AB9" w:rsidR="00EF7D2E" w:rsidRDefault="000763B8" w:rsidP="00EF7D2E">
      <w:pPr>
        <w:pStyle w:val="ListParagraph"/>
        <w:numPr>
          <w:ilvl w:val="0"/>
          <w:numId w:val="3"/>
        </w:numPr>
        <w:jc w:val="both"/>
      </w:pPr>
      <w:r>
        <w:t>A</w:t>
      </w:r>
      <w:r w:rsidR="00E90D65">
        <w:t>n employee’s entitlement to ESST</w:t>
      </w:r>
      <w:r w:rsidR="00EF7D2E">
        <w:t>;</w:t>
      </w:r>
    </w:p>
    <w:p w14:paraId="35AFCB41" w14:textId="73AEB01F" w:rsidR="00EF7D2E" w:rsidRDefault="000763B8" w:rsidP="00EF7D2E">
      <w:pPr>
        <w:pStyle w:val="ListParagraph"/>
        <w:numPr>
          <w:ilvl w:val="0"/>
          <w:numId w:val="3"/>
        </w:numPr>
        <w:jc w:val="both"/>
      </w:pPr>
      <w:r>
        <w:t>T</w:t>
      </w:r>
      <w:r w:rsidR="00AB0ABF">
        <w:t xml:space="preserve">he </w:t>
      </w:r>
      <w:r w:rsidR="00E90D65">
        <w:t xml:space="preserve">accrual amount and </w:t>
      </w:r>
      <w:r w:rsidR="00AB0ABF">
        <w:t>definition of a year</w:t>
      </w:r>
      <w:r w:rsidR="00EF7D2E">
        <w:t>;</w:t>
      </w:r>
    </w:p>
    <w:p w14:paraId="0BC94215" w14:textId="272CD54C" w:rsidR="00EF7D2E" w:rsidRDefault="000763B8" w:rsidP="00EF7D2E">
      <w:pPr>
        <w:pStyle w:val="ListParagraph"/>
        <w:numPr>
          <w:ilvl w:val="0"/>
          <w:numId w:val="3"/>
        </w:numPr>
        <w:jc w:val="both"/>
      </w:pPr>
      <w:r>
        <w:t>P</w:t>
      </w:r>
      <w:r w:rsidR="00E90D65">
        <w:t xml:space="preserve">ermitted </w:t>
      </w:r>
      <w:r w:rsidR="00AB0ABF">
        <w:t>reasons for use</w:t>
      </w:r>
      <w:r w:rsidR="00EF7D2E">
        <w:t>;</w:t>
      </w:r>
    </w:p>
    <w:p w14:paraId="7636DE09" w14:textId="50AB27C1" w:rsidR="00EF7D2E" w:rsidRDefault="000763B8" w:rsidP="00EF7D2E">
      <w:pPr>
        <w:pStyle w:val="ListParagraph"/>
        <w:numPr>
          <w:ilvl w:val="0"/>
          <w:numId w:val="3"/>
        </w:numPr>
        <w:jc w:val="both"/>
      </w:pPr>
      <w:r>
        <w:t>A</w:t>
      </w:r>
      <w:r w:rsidR="00E90D65">
        <w:t>ny written policy maintained by the employer</w:t>
      </w:r>
      <w:r w:rsidR="00EF7D2E">
        <w:t>;</w:t>
      </w:r>
    </w:p>
    <w:p w14:paraId="068E0ACF" w14:textId="76F3DBE1" w:rsidR="00EF7D2E" w:rsidRDefault="000763B8" w:rsidP="00EF7D2E">
      <w:pPr>
        <w:pStyle w:val="ListParagraph"/>
        <w:numPr>
          <w:ilvl w:val="0"/>
          <w:numId w:val="3"/>
        </w:numPr>
        <w:jc w:val="both"/>
      </w:pPr>
      <w:r>
        <w:t>T</w:t>
      </w:r>
      <w:r w:rsidR="00AB0ABF">
        <w:t>he right to protection against retaliation</w:t>
      </w:r>
      <w:r w:rsidR="00EF7D2E">
        <w:t>;</w:t>
      </w:r>
      <w:r w:rsidR="00AB0ABF">
        <w:t xml:space="preserve"> and</w:t>
      </w:r>
      <w:r w:rsidR="00EF7D2E">
        <w:t>,</w:t>
      </w:r>
    </w:p>
    <w:p w14:paraId="6D6827E8" w14:textId="3D1D6170" w:rsidR="00E90D65" w:rsidRDefault="000763B8" w:rsidP="00EF7D2E">
      <w:pPr>
        <w:pStyle w:val="ListParagraph"/>
        <w:numPr>
          <w:ilvl w:val="0"/>
          <w:numId w:val="3"/>
        </w:numPr>
        <w:jc w:val="both"/>
      </w:pPr>
      <w:r>
        <w:t>A</w:t>
      </w:r>
      <w:r w:rsidR="00AB0ABF">
        <w:t xml:space="preserve">n employee’s right to file a complaint. </w:t>
      </w:r>
    </w:p>
    <w:p w14:paraId="73B650F1" w14:textId="344C1B9F" w:rsidR="00AB0ABF" w:rsidRDefault="00AB0ABF" w:rsidP="00F47D12">
      <w:pPr>
        <w:jc w:val="both"/>
      </w:pPr>
    </w:p>
    <w:p w14:paraId="66CC7628" w14:textId="0605848D" w:rsidR="00AB0ABF" w:rsidRDefault="00AB0ABF" w:rsidP="00F47D12">
      <w:pPr>
        <w:jc w:val="both"/>
      </w:pPr>
      <w:r>
        <w:t xml:space="preserve">Notice must be posted at the place of work, communicated by paper or electronic copy, or made available on a web or app-based platform used by employees. Any employee handbook must also outline ESST requirements. </w:t>
      </w:r>
    </w:p>
    <w:p w14:paraId="6DF29A8F" w14:textId="0F205930" w:rsidR="00AB0ABF" w:rsidRDefault="00AB0ABF" w:rsidP="00F47D12">
      <w:pPr>
        <w:jc w:val="both"/>
      </w:pPr>
    </w:p>
    <w:p w14:paraId="670A3604" w14:textId="5643A68B" w:rsidR="00AB0ABF" w:rsidRPr="00AB0ABF" w:rsidRDefault="00AB0ABF" w:rsidP="00F47D12">
      <w:pPr>
        <w:jc w:val="both"/>
      </w:pPr>
      <w:r>
        <w:rPr>
          <w:u w:val="single"/>
        </w:rPr>
        <w:t>Employee</w:t>
      </w:r>
      <w:r>
        <w:t xml:space="preserve">: Where use of ESST is foreseeable, an employer may require the employee to provide seven (7) days’ notice of their intent to use the entitlement. Where the need is not foreseeable, the employer may require notice as soon as is practicable. This requirement must be made clear in a written policy. Where the policy is not written, failure to comply cannot be used to deny ESST. </w:t>
      </w:r>
    </w:p>
    <w:p w14:paraId="146A0B4D" w14:textId="77777777" w:rsidR="009216FC" w:rsidRDefault="009216FC" w:rsidP="009216FC">
      <w:pPr>
        <w:jc w:val="both"/>
        <w:rPr>
          <w:u w:val="single"/>
        </w:rPr>
      </w:pPr>
    </w:p>
    <w:p w14:paraId="2BC81F59" w14:textId="376763BD" w:rsidR="009216FC" w:rsidRDefault="009216FC" w:rsidP="009216FC">
      <w:pPr>
        <w:jc w:val="both"/>
      </w:pPr>
      <w:r>
        <w:rPr>
          <w:u w:val="single"/>
        </w:rPr>
        <w:t>Confidentiality</w:t>
      </w:r>
      <w:r>
        <w:t xml:space="preserve">: Employers must keep health and safety information about the employee or family member obtained through ESST requests confidential. Medical records obtained as part of reasonable documentation must be maintained in a separate, confidential medical file. </w:t>
      </w:r>
    </w:p>
    <w:p w14:paraId="0F4F6CE1" w14:textId="7510AD94" w:rsidR="00F47D12" w:rsidRDefault="00F47D12" w:rsidP="00F47D12">
      <w:pPr>
        <w:jc w:val="both"/>
        <w:rPr>
          <w:b/>
          <w:bCs/>
        </w:rPr>
      </w:pPr>
    </w:p>
    <w:p w14:paraId="1BE00FAA" w14:textId="4C3FC408" w:rsidR="00F47D12" w:rsidRPr="00AB0ABF" w:rsidRDefault="00E90D65" w:rsidP="00F47D12">
      <w:pPr>
        <w:jc w:val="both"/>
      </w:pPr>
      <w:r>
        <w:rPr>
          <w:b/>
          <w:bCs/>
        </w:rPr>
        <w:t xml:space="preserve">Medical </w:t>
      </w:r>
      <w:r w:rsidR="00F47D12">
        <w:rPr>
          <w:b/>
          <w:bCs/>
        </w:rPr>
        <w:t>Documentation:</w:t>
      </w:r>
      <w:r>
        <w:rPr>
          <w:b/>
          <w:bCs/>
        </w:rPr>
        <w:t xml:space="preserve"> </w:t>
      </w:r>
      <w:r w:rsidR="00AB0ABF">
        <w:t xml:space="preserve">An employer may only require reasonable documentation of ESST when more than three days of consecutive ESST are used. In most cases, if the employee is unable to secure that documentation, the employee may instead supply the employer with a written statement indicating that the ESST is being used for a qualifying purpose. </w:t>
      </w:r>
    </w:p>
    <w:p w14:paraId="1D3A4321" w14:textId="77777777" w:rsidR="00F47D12" w:rsidRDefault="00F47D12" w:rsidP="00F47D12">
      <w:pPr>
        <w:jc w:val="both"/>
      </w:pPr>
    </w:p>
    <w:p w14:paraId="093AA68A" w14:textId="71E056D4" w:rsidR="00436DBE" w:rsidRDefault="00436DBE" w:rsidP="00F47D12">
      <w:pPr>
        <w:jc w:val="both"/>
      </w:pPr>
      <w:r>
        <w:rPr>
          <w:b/>
          <w:bCs/>
        </w:rPr>
        <w:t xml:space="preserve">Local Law: </w:t>
      </w:r>
      <w:r>
        <w:t xml:space="preserve">ESST does not extinguish earned sick and safe time benefits extended by localities which are more generous to employees. </w:t>
      </w:r>
      <w:r w:rsidR="00E90D65">
        <w:t xml:space="preserve">Employers must follow the protections which are most beneficial to their employees. </w:t>
      </w:r>
    </w:p>
    <w:p w14:paraId="67DBEA17" w14:textId="2E3F9BE5" w:rsidR="00F47D12" w:rsidRDefault="00F47D12" w:rsidP="00F47D12">
      <w:pPr>
        <w:jc w:val="both"/>
      </w:pPr>
    </w:p>
    <w:p w14:paraId="594C7828" w14:textId="65AA79CF" w:rsidR="000763B8" w:rsidRDefault="000763B8" w:rsidP="00F47D12">
      <w:pPr>
        <w:jc w:val="both"/>
      </w:pPr>
    </w:p>
    <w:p w14:paraId="580FEDE3" w14:textId="77777777" w:rsidR="000763B8" w:rsidRPr="00436DBE" w:rsidRDefault="000763B8" w:rsidP="00F47D12">
      <w:pPr>
        <w:jc w:val="both"/>
      </w:pPr>
    </w:p>
    <w:p w14:paraId="1E853904" w14:textId="7E5FC4C6" w:rsidR="000763B8" w:rsidRPr="005B7BF0" w:rsidRDefault="000763B8" w:rsidP="000763B8">
      <w:pPr>
        <w:jc w:val="center"/>
        <w:rPr>
          <w:rFonts w:eastAsia="Times New Roman" w:cs="Times New Roman"/>
          <w:i/>
          <w:iCs/>
          <w:sz w:val="20"/>
          <w:szCs w:val="20"/>
        </w:rPr>
      </w:pPr>
      <w:bookmarkStart w:id="0" w:name="_Hlk153199971"/>
      <w:r w:rsidRPr="005B7BF0">
        <w:rPr>
          <w:rFonts w:cs="Times New Roman"/>
          <w:i/>
          <w:iCs/>
          <w:sz w:val="20"/>
          <w:szCs w:val="20"/>
        </w:rPr>
        <w:t>Please note that the information provided is only accurate as of the day posted (</w:t>
      </w:r>
      <w:r>
        <w:rPr>
          <w:rFonts w:cs="Times New Roman"/>
          <w:i/>
          <w:iCs/>
          <w:sz w:val="20"/>
          <w:szCs w:val="20"/>
        </w:rPr>
        <w:t>December 15, 2023</w:t>
      </w:r>
      <w:r w:rsidRPr="005B7BF0">
        <w:rPr>
          <w:rFonts w:cs="Times New Roman"/>
          <w:i/>
          <w:iCs/>
          <w:sz w:val="20"/>
          <w:szCs w:val="20"/>
        </w:rPr>
        <w:t>).</w:t>
      </w:r>
      <w:r w:rsidRPr="005B7BF0">
        <w:rPr>
          <w:rFonts w:cs="Times New Roman"/>
          <w:sz w:val="20"/>
          <w:szCs w:val="20"/>
        </w:rPr>
        <w:t xml:space="preserve"> </w:t>
      </w:r>
      <w:r w:rsidRPr="005B7BF0">
        <w:rPr>
          <w:rFonts w:eastAsia="Times New Roman" w:cs="Times New Roman"/>
          <w:i/>
          <w:iCs/>
          <w:sz w:val="20"/>
          <w:szCs w:val="20"/>
        </w:rPr>
        <w:t>The information provided does not, and is not intended to, constitute legal advice; instead, all information is prepared and provided for general informational purposes only.</w:t>
      </w:r>
    </w:p>
    <w:p w14:paraId="16153312" w14:textId="1A3A45E7" w:rsidR="005108A0" w:rsidRPr="000763B8" w:rsidRDefault="000763B8" w:rsidP="000763B8">
      <w:pPr>
        <w:jc w:val="center"/>
        <w:rPr>
          <w:rFonts w:eastAsia="Calibri" w:cs="Times New Roman"/>
          <w:i/>
          <w:iCs/>
          <w:sz w:val="20"/>
          <w:szCs w:val="20"/>
        </w:rPr>
      </w:pPr>
      <w:r w:rsidRPr="005B7BF0">
        <w:rPr>
          <w:rFonts w:eastAsia="Times New Roman" w:cs="Times New Roman"/>
          <w:i/>
          <w:iCs/>
          <w:sz w:val="20"/>
          <w:szCs w:val="20"/>
        </w:rPr>
        <w:t xml:space="preserve">Copyright © 2023 Roe Law Group, PLLC, </w:t>
      </w:r>
      <w:proofErr w:type="gramStart"/>
      <w:r w:rsidRPr="005B7BF0">
        <w:rPr>
          <w:rFonts w:eastAsia="Times New Roman" w:cs="Times New Roman"/>
          <w:i/>
          <w:iCs/>
          <w:sz w:val="20"/>
          <w:szCs w:val="20"/>
        </w:rPr>
        <w:t>All</w:t>
      </w:r>
      <w:proofErr w:type="gramEnd"/>
      <w:r w:rsidRPr="005B7BF0">
        <w:rPr>
          <w:rFonts w:eastAsia="Times New Roman" w:cs="Times New Roman"/>
          <w:i/>
          <w:iCs/>
          <w:sz w:val="20"/>
          <w:szCs w:val="20"/>
        </w:rPr>
        <w:t xml:space="preserve"> rights reserved.</w:t>
      </w:r>
      <w:bookmarkEnd w:id="0"/>
    </w:p>
    <w:sectPr w:rsidR="005108A0" w:rsidRPr="000763B8" w:rsidSect="0029511A">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4FCC2" w14:textId="77777777" w:rsidR="007F1711" w:rsidRDefault="007F1711" w:rsidP="0029511A">
      <w:r>
        <w:separator/>
      </w:r>
    </w:p>
  </w:endnote>
  <w:endnote w:type="continuationSeparator" w:id="0">
    <w:p w14:paraId="6EB7DE05" w14:textId="77777777" w:rsidR="007F1711" w:rsidRDefault="007F1711" w:rsidP="0029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87894"/>
      <w:docPartObj>
        <w:docPartGallery w:val="Page Numbers (Bottom of Page)"/>
        <w:docPartUnique/>
      </w:docPartObj>
    </w:sdtPr>
    <w:sdtEndPr>
      <w:rPr>
        <w:noProof/>
      </w:rPr>
    </w:sdtEndPr>
    <w:sdtContent>
      <w:p w14:paraId="53B0084A" w14:textId="577DE7E4" w:rsidR="000763B8" w:rsidRDefault="000763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B01609" w14:textId="77777777" w:rsidR="000763B8" w:rsidRDefault="00076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71E6E" w14:textId="77777777" w:rsidR="007F1711" w:rsidRDefault="007F1711" w:rsidP="0029511A">
      <w:r>
        <w:separator/>
      </w:r>
    </w:p>
  </w:footnote>
  <w:footnote w:type="continuationSeparator" w:id="0">
    <w:p w14:paraId="56210486" w14:textId="77777777" w:rsidR="007F1711" w:rsidRDefault="007F1711" w:rsidP="00295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91DB" w14:textId="77777777" w:rsidR="0029511A" w:rsidRDefault="0029511A" w:rsidP="0029511A">
    <w:pPr>
      <w:tabs>
        <w:tab w:val="center" w:pos="4680"/>
        <w:tab w:val="right" w:pos="9360"/>
      </w:tabs>
      <w:jc w:val="center"/>
    </w:pPr>
    <w:r>
      <w:rPr>
        <w:noProof/>
      </w:rPr>
      <w:drawing>
        <wp:inline distT="0" distB="0" distL="0" distR="0" wp14:anchorId="04CB8290" wp14:editId="0E5C835D">
          <wp:extent cx="2276475" cy="457200"/>
          <wp:effectExtent l="0" t="0" r="9525" b="0"/>
          <wp:docPr id="1" name="Picture 1" descr="RoeLogo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eLogoLet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457200"/>
                  </a:xfrm>
                  <a:prstGeom prst="rect">
                    <a:avLst/>
                  </a:prstGeom>
                  <a:noFill/>
                  <a:ln>
                    <a:noFill/>
                  </a:ln>
                </pic:spPr>
              </pic:pic>
            </a:graphicData>
          </a:graphic>
        </wp:inline>
      </w:drawing>
    </w:r>
  </w:p>
  <w:p w14:paraId="0FF383C9" w14:textId="77777777" w:rsidR="0029511A" w:rsidRDefault="0029511A" w:rsidP="0029511A">
    <w:pPr>
      <w:tabs>
        <w:tab w:val="center" w:pos="4680"/>
        <w:tab w:val="right" w:pos="9360"/>
      </w:tabs>
    </w:pPr>
  </w:p>
  <w:p w14:paraId="0C136800" w14:textId="77777777" w:rsidR="0029511A" w:rsidRDefault="0029511A" w:rsidP="0029511A">
    <w:pPr>
      <w:tabs>
        <w:tab w:val="center" w:pos="4680"/>
        <w:tab w:val="right" w:pos="9360"/>
      </w:tabs>
      <w:rPr>
        <w:rFonts w:cs="Times New Roman"/>
        <w:sz w:val="18"/>
        <w:szCs w:val="18"/>
      </w:rPr>
    </w:pPr>
    <w:r>
      <w:rPr>
        <w:rFonts w:cs="Times New Roman"/>
        <w:sz w:val="18"/>
        <w:szCs w:val="18"/>
      </w:rPr>
      <w:t>Jessica L. Roe</w:t>
    </w:r>
    <w:r>
      <w:rPr>
        <w:rFonts w:cs="Times New Roman"/>
        <w:sz w:val="18"/>
        <w:szCs w:val="18"/>
      </w:rPr>
      <w:tab/>
    </w:r>
    <w:r>
      <w:rPr>
        <w:rFonts w:cs="Times New Roman"/>
        <w:sz w:val="18"/>
        <w:szCs w:val="18"/>
      </w:rPr>
      <w:tab/>
      <w:t>60 South Sixth Street</w:t>
    </w:r>
  </w:p>
  <w:p w14:paraId="5F898165" w14:textId="77777777" w:rsidR="0029511A" w:rsidRDefault="0029511A" w:rsidP="0029511A">
    <w:pPr>
      <w:tabs>
        <w:tab w:val="center" w:pos="4680"/>
        <w:tab w:val="right" w:pos="9360"/>
      </w:tabs>
      <w:rPr>
        <w:rFonts w:cs="Times New Roman"/>
        <w:sz w:val="18"/>
        <w:szCs w:val="18"/>
      </w:rPr>
    </w:pPr>
    <w:r>
      <w:rPr>
        <w:rFonts w:cs="Times New Roman"/>
        <w:sz w:val="18"/>
        <w:szCs w:val="18"/>
      </w:rPr>
      <w:t>Attorney</w:t>
    </w:r>
    <w:r>
      <w:rPr>
        <w:rFonts w:cs="Times New Roman"/>
        <w:sz w:val="18"/>
        <w:szCs w:val="18"/>
      </w:rPr>
      <w:tab/>
    </w:r>
    <w:r>
      <w:rPr>
        <w:rFonts w:cs="Times New Roman"/>
        <w:sz w:val="18"/>
        <w:szCs w:val="18"/>
      </w:rPr>
      <w:tab/>
      <w:t>Suite 3750</w:t>
    </w:r>
  </w:p>
  <w:p w14:paraId="3935DEC7" w14:textId="77777777" w:rsidR="0029511A" w:rsidRDefault="0029511A" w:rsidP="0029511A">
    <w:pPr>
      <w:tabs>
        <w:tab w:val="center" w:pos="4680"/>
        <w:tab w:val="right" w:pos="9360"/>
      </w:tabs>
      <w:rPr>
        <w:rFonts w:cs="Times New Roman"/>
        <w:sz w:val="18"/>
        <w:szCs w:val="18"/>
      </w:rPr>
    </w:pPr>
    <w:r>
      <w:rPr>
        <w:rFonts w:cs="Times New Roman"/>
        <w:sz w:val="18"/>
        <w:szCs w:val="18"/>
      </w:rPr>
      <w:tab/>
    </w:r>
    <w:r>
      <w:rPr>
        <w:rFonts w:cs="Times New Roman"/>
        <w:sz w:val="18"/>
        <w:szCs w:val="18"/>
      </w:rPr>
      <w:tab/>
      <w:t>Minneapolis, MN  55402</w:t>
    </w:r>
  </w:p>
  <w:p w14:paraId="62B03F06" w14:textId="77777777" w:rsidR="0029511A" w:rsidRDefault="0029511A" w:rsidP="0029511A">
    <w:pPr>
      <w:tabs>
        <w:tab w:val="center" w:pos="4680"/>
        <w:tab w:val="right" w:pos="9360"/>
      </w:tabs>
      <w:rPr>
        <w:rFonts w:cs="Times New Roman"/>
        <w:sz w:val="18"/>
        <w:szCs w:val="18"/>
      </w:rPr>
    </w:pPr>
    <w:r>
      <w:rPr>
        <w:rFonts w:cs="Times New Roman"/>
        <w:sz w:val="18"/>
        <w:szCs w:val="18"/>
      </w:rPr>
      <w:t>612-351-8305 (O)</w:t>
    </w:r>
    <w:r>
      <w:rPr>
        <w:rFonts w:cs="Times New Roman"/>
        <w:sz w:val="18"/>
        <w:szCs w:val="18"/>
      </w:rPr>
      <w:tab/>
    </w:r>
    <w:r>
      <w:rPr>
        <w:rFonts w:cs="Times New Roman"/>
        <w:sz w:val="18"/>
        <w:szCs w:val="18"/>
      </w:rPr>
      <w:tab/>
      <w:t>612-351-8300 (O)</w:t>
    </w:r>
  </w:p>
  <w:p w14:paraId="1E6EB501" w14:textId="77777777" w:rsidR="0029511A" w:rsidRDefault="0029511A" w:rsidP="0029511A">
    <w:pPr>
      <w:tabs>
        <w:tab w:val="center" w:pos="4680"/>
        <w:tab w:val="right" w:pos="9360"/>
      </w:tabs>
      <w:rPr>
        <w:rFonts w:cs="Times New Roman"/>
        <w:sz w:val="18"/>
        <w:szCs w:val="18"/>
      </w:rPr>
    </w:pPr>
    <w:r>
      <w:rPr>
        <w:rFonts w:cs="Times New Roman"/>
        <w:sz w:val="18"/>
        <w:szCs w:val="18"/>
      </w:rPr>
      <w:t xml:space="preserve">612-810-1807 (C) </w:t>
    </w:r>
    <w:r>
      <w:rPr>
        <w:rFonts w:cs="Times New Roman"/>
        <w:sz w:val="18"/>
        <w:szCs w:val="18"/>
      </w:rPr>
      <w:tab/>
    </w:r>
    <w:r>
      <w:rPr>
        <w:rFonts w:cs="Times New Roman"/>
        <w:sz w:val="18"/>
        <w:szCs w:val="18"/>
      </w:rPr>
      <w:tab/>
      <w:t>612-351-8301 (F)</w:t>
    </w:r>
  </w:p>
  <w:p w14:paraId="1822A974" w14:textId="77777777" w:rsidR="0029511A" w:rsidRDefault="0029511A" w:rsidP="0029511A">
    <w:pPr>
      <w:tabs>
        <w:tab w:val="center" w:pos="4680"/>
        <w:tab w:val="right" w:pos="9360"/>
      </w:tabs>
      <w:rPr>
        <w:rFonts w:cs="Times New Roman"/>
        <w:sz w:val="18"/>
        <w:szCs w:val="18"/>
      </w:rPr>
    </w:pPr>
    <w:r>
      <w:rPr>
        <w:rFonts w:cs="Times New Roman"/>
        <w:sz w:val="18"/>
        <w:szCs w:val="18"/>
      </w:rPr>
      <w:t>jroe@roelawgroup.com</w:t>
    </w:r>
    <w:r>
      <w:rPr>
        <w:rFonts w:cs="Times New Roman"/>
        <w:sz w:val="18"/>
        <w:szCs w:val="18"/>
      </w:rPr>
      <w:tab/>
    </w:r>
    <w:r>
      <w:rPr>
        <w:rFonts w:cs="Times New Roman"/>
        <w:sz w:val="18"/>
        <w:szCs w:val="18"/>
      </w:rPr>
      <w:tab/>
      <w:t>www.roelawgroup.com</w:t>
    </w:r>
  </w:p>
  <w:p w14:paraId="0FB5FFED" w14:textId="77777777" w:rsidR="0029511A" w:rsidRDefault="00295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90575"/>
    <w:multiLevelType w:val="hybridMultilevel"/>
    <w:tmpl w:val="03A87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6580A"/>
    <w:multiLevelType w:val="hybridMultilevel"/>
    <w:tmpl w:val="9F1A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69430A"/>
    <w:multiLevelType w:val="hybridMultilevel"/>
    <w:tmpl w:val="2E68B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566350">
    <w:abstractNumId w:val="2"/>
  </w:num>
  <w:num w:numId="2" w16cid:durableId="55520225">
    <w:abstractNumId w:val="0"/>
  </w:num>
  <w:num w:numId="3" w16cid:durableId="1599175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11A"/>
    <w:rsid w:val="000763B8"/>
    <w:rsid w:val="001935A7"/>
    <w:rsid w:val="001B6AF0"/>
    <w:rsid w:val="00245B92"/>
    <w:rsid w:val="0029511A"/>
    <w:rsid w:val="00436DBE"/>
    <w:rsid w:val="005108A0"/>
    <w:rsid w:val="006A2F5F"/>
    <w:rsid w:val="006C6F97"/>
    <w:rsid w:val="007F1711"/>
    <w:rsid w:val="00892742"/>
    <w:rsid w:val="009216FC"/>
    <w:rsid w:val="00AB0ABF"/>
    <w:rsid w:val="00B206D8"/>
    <w:rsid w:val="00B20CDD"/>
    <w:rsid w:val="00E90D65"/>
    <w:rsid w:val="00EB6C1E"/>
    <w:rsid w:val="00EF7D2E"/>
    <w:rsid w:val="00F4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96393"/>
  <w15:chartTrackingRefBased/>
  <w15:docId w15:val="{D92A0D56-20E8-4D30-ACEE-EAA5EA30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11A"/>
    <w:pPr>
      <w:tabs>
        <w:tab w:val="center" w:pos="4680"/>
        <w:tab w:val="right" w:pos="9360"/>
      </w:tabs>
    </w:pPr>
  </w:style>
  <w:style w:type="character" w:customStyle="1" w:styleId="HeaderChar">
    <w:name w:val="Header Char"/>
    <w:basedOn w:val="DefaultParagraphFont"/>
    <w:link w:val="Header"/>
    <w:uiPriority w:val="99"/>
    <w:rsid w:val="0029511A"/>
  </w:style>
  <w:style w:type="paragraph" w:styleId="Footer">
    <w:name w:val="footer"/>
    <w:basedOn w:val="Normal"/>
    <w:link w:val="FooterChar"/>
    <w:uiPriority w:val="99"/>
    <w:unhideWhenUsed/>
    <w:rsid w:val="0029511A"/>
    <w:pPr>
      <w:tabs>
        <w:tab w:val="center" w:pos="4680"/>
        <w:tab w:val="right" w:pos="9360"/>
      </w:tabs>
    </w:pPr>
  </w:style>
  <w:style w:type="character" w:customStyle="1" w:styleId="FooterChar">
    <w:name w:val="Footer Char"/>
    <w:basedOn w:val="DefaultParagraphFont"/>
    <w:link w:val="Footer"/>
    <w:uiPriority w:val="99"/>
    <w:rsid w:val="0029511A"/>
  </w:style>
  <w:style w:type="paragraph" w:styleId="ListParagraph">
    <w:name w:val="List Paragraph"/>
    <w:basedOn w:val="Normal"/>
    <w:uiPriority w:val="34"/>
    <w:qFormat/>
    <w:rsid w:val="00510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84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Lasnier</dc:creator>
  <cp:keywords/>
  <dc:description/>
  <cp:lastModifiedBy>Nick Beckman</cp:lastModifiedBy>
  <cp:revision>2</cp:revision>
  <dcterms:created xsi:type="dcterms:W3CDTF">2023-12-15T20:31:00Z</dcterms:created>
  <dcterms:modified xsi:type="dcterms:W3CDTF">2023-12-15T20:31:00Z</dcterms:modified>
</cp:coreProperties>
</file>