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F1F7" w14:textId="5DF1F947" w:rsidR="002422B1" w:rsidRPr="002422B1" w:rsidRDefault="00251A88" w:rsidP="002422B1">
      <w:pPr>
        <w:jc w:val="center"/>
        <w:rPr>
          <w:rFonts w:ascii="Times New Roman" w:hAnsi="Times New Roman" w:cs="Times New Roman"/>
          <w:b/>
          <w:bCs/>
          <w:color w:val="0070C0"/>
          <w:sz w:val="32"/>
          <w:szCs w:val="32"/>
          <w:u w:val="single"/>
        </w:rPr>
      </w:pPr>
      <w:bookmarkStart w:id="0" w:name="_Hlk18914064"/>
      <w:r>
        <w:rPr>
          <w:rFonts w:ascii="Times New Roman" w:hAnsi="Times New Roman" w:cs="Times New Roman"/>
          <w:b/>
          <w:bCs/>
          <w:color w:val="0070C0"/>
          <w:sz w:val="32"/>
          <w:szCs w:val="32"/>
          <w:u w:val="single"/>
        </w:rPr>
        <w:t>RLG Newsletter: End of Year Updates</w:t>
      </w:r>
    </w:p>
    <w:p w14:paraId="0B957224" w14:textId="77777777" w:rsidR="002422B1" w:rsidRPr="002422B1" w:rsidRDefault="002422B1" w:rsidP="002422B1">
      <w:pPr>
        <w:rPr>
          <w:rFonts w:ascii="Times New Roman" w:hAnsi="Times New Roman" w:cs="Times New Roman"/>
        </w:rPr>
      </w:pPr>
    </w:p>
    <w:p w14:paraId="41A545D9" w14:textId="24FCB4B6" w:rsidR="009425C3" w:rsidRPr="009425C3" w:rsidRDefault="009425C3" w:rsidP="009425C3">
      <w:pPr>
        <w:jc w:val="center"/>
        <w:rPr>
          <w:rFonts w:ascii="Times New Roman" w:hAnsi="Times New Roman" w:cs="Times New Roman"/>
          <w:color w:val="0070C0"/>
        </w:rPr>
      </w:pPr>
      <w:r w:rsidRPr="009425C3">
        <w:rPr>
          <w:rFonts w:ascii="Times New Roman" w:hAnsi="Times New Roman" w:cs="Times New Roman"/>
          <w:b/>
          <w:bCs/>
          <w:color w:val="0070C0"/>
        </w:rPr>
        <w:t xml:space="preserve">National Labor Relations Board Issues a </w:t>
      </w:r>
      <w:r w:rsidR="003D27BD">
        <w:rPr>
          <w:rFonts w:ascii="Times New Roman" w:hAnsi="Times New Roman" w:cs="Times New Roman"/>
          <w:b/>
          <w:bCs/>
          <w:color w:val="0070C0"/>
        </w:rPr>
        <w:t>Series</w:t>
      </w:r>
      <w:r w:rsidRPr="009425C3">
        <w:rPr>
          <w:rFonts w:ascii="Times New Roman" w:hAnsi="Times New Roman" w:cs="Times New Roman"/>
          <w:b/>
          <w:bCs/>
          <w:color w:val="0070C0"/>
        </w:rPr>
        <w:t xml:space="preserve"> of Decisions Before Year End</w:t>
      </w:r>
    </w:p>
    <w:p w14:paraId="33FFD46D" w14:textId="77777777" w:rsidR="009425C3" w:rsidRDefault="009425C3" w:rsidP="009425C3">
      <w:pPr>
        <w:jc w:val="both"/>
        <w:rPr>
          <w:rFonts w:ascii="Times New Roman" w:hAnsi="Times New Roman" w:cs="Times New Roman"/>
        </w:rPr>
      </w:pPr>
    </w:p>
    <w:p w14:paraId="51A01BA5" w14:textId="2F1BC978" w:rsidR="009425C3" w:rsidRDefault="003D27BD" w:rsidP="009425C3">
      <w:pPr>
        <w:jc w:val="both"/>
        <w:rPr>
          <w:rFonts w:ascii="Times New Roman" w:hAnsi="Times New Roman" w:cs="Times New Roman"/>
        </w:rPr>
      </w:pPr>
      <w:r>
        <w:rPr>
          <w:rFonts w:ascii="Times New Roman" w:hAnsi="Times New Roman" w:cs="Times New Roman"/>
        </w:rPr>
        <w:t xml:space="preserve">Just as the year draws to a close, the National Labor Relations Board (“NLRB” or “Board”) has issued several decisions that are set to alter the labor law landscape for employers. </w:t>
      </w:r>
      <w:r w:rsidRPr="003D27BD">
        <w:rPr>
          <w:rFonts w:ascii="Times New Roman" w:hAnsi="Times New Roman" w:cs="Times New Roman"/>
        </w:rPr>
        <w:t xml:space="preserve">Among other things, these decisions </w:t>
      </w:r>
      <w:r>
        <w:rPr>
          <w:rFonts w:ascii="Times New Roman" w:hAnsi="Times New Roman" w:cs="Times New Roman"/>
        </w:rPr>
        <w:t xml:space="preserve">now </w:t>
      </w:r>
      <w:r w:rsidRPr="003D27BD">
        <w:rPr>
          <w:rFonts w:ascii="Times New Roman" w:hAnsi="Times New Roman" w:cs="Times New Roman"/>
        </w:rPr>
        <w:t xml:space="preserve">make it easier for unions to organize and expose employers to damages </w:t>
      </w:r>
      <w:r>
        <w:rPr>
          <w:rFonts w:ascii="Times New Roman" w:hAnsi="Times New Roman" w:cs="Times New Roman"/>
        </w:rPr>
        <w:t xml:space="preserve">not </w:t>
      </w:r>
      <w:r w:rsidRPr="003D27BD">
        <w:rPr>
          <w:rFonts w:ascii="Times New Roman" w:hAnsi="Times New Roman" w:cs="Times New Roman"/>
        </w:rPr>
        <w:t xml:space="preserve">previously available </w:t>
      </w:r>
      <w:r>
        <w:rPr>
          <w:rFonts w:ascii="Times New Roman" w:hAnsi="Times New Roman" w:cs="Times New Roman"/>
        </w:rPr>
        <w:t xml:space="preserve">under existing </w:t>
      </w:r>
      <w:r w:rsidRPr="003D27BD">
        <w:rPr>
          <w:rFonts w:ascii="Times New Roman" w:hAnsi="Times New Roman" w:cs="Times New Roman"/>
        </w:rPr>
        <w:t>labor law.</w:t>
      </w:r>
      <w:r>
        <w:rPr>
          <w:rFonts w:ascii="Times New Roman" w:hAnsi="Times New Roman" w:cs="Times New Roman"/>
        </w:rPr>
        <w:t xml:space="preserve"> Below are a few of the cases:</w:t>
      </w:r>
    </w:p>
    <w:p w14:paraId="5BC24DFC" w14:textId="4836AF43" w:rsidR="003D27BD" w:rsidRDefault="003D27BD" w:rsidP="009425C3">
      <w:pPr>
        <w:jc w:val="both"/>
        <w:rPr>
          <w:rFonts w:ascii="Times New Roman" w:hAnsi="Times New Roman" w:cs="Times New Roman"/>
        </w:rPr>
      </w:pPr>
    </w:p>
    <w:p w14:paraId="74EE7AB3" w14:textId="4DEBD347" w:rsidR="003D27BD" w:rsidRPr="003D27BD" w:rsidRDefault="003D27BD" w:rsidP="003D27BD">
      <w:pPr>
        <w:jc w:val="both"/>
        <w:rPr>
          <w:rFonts w:ascii="Times New Roman" w:hAnsi="Times New Roman" w:cs="Times New Roman"/>
        </w:rPr>
      </w:pPr>
      <w:r w:rsidRPr="003D27BD">
        <w:rPr>
          <w:rFonts w:ascii="Times New Roman" w:hAnsi="Times New Roman" w:cs="Times New Roman"/>
        </w:rPr>
        <w:t xml:space="preserve">In </w:t>
      </w:r>
      <w:hyperlink r:id="rId8" w:history="1">
        <w:r w:rsidRPr="003D27BD">
          <w:rPr>
            <w:rStyle w:val="Hyperlink"/>
            <w:rFonts w:ascii="Times New Roman" w:hAnsi="Times New Roman" w:cs="Times New Roman"/>
            <w:i/>
            <w:iCs/>
          </w:rPr>
          <w:t>Thryv, Inc.</w:t>
        </w:r>
      </w:hyperlink>
      <w:r w:rsidRPr="003D27BD">
        <w:rPr>
          <w:rFonts w:ascii="Times New Roman" w:hAnsi="Times New Roman" w:cs="Times New Roman"/>
        </w:rPr>
        <w:t xml:space="preserve">, the Board held that while it cannot order anything beyond “make-whole” remedies for violations of the National Labor Relations Act (“NLRA”), “make-whole” remedies now include not just reinstatement and back pay, but also </w:t>
      </w:r>
      <w:r w:rsidRPr="003D27BD">
        <w:rPr>
          <w:rFonts w:ascii="Times New Roman" w:hAnsi="Times New Roman" w:cs="Times New Roman"/>
          <w:i/>
          <w:iCs/>
        </w:rPr>
        <w:t>at a minimum</w:t>
      </w:r>
      <w:r w:rsidRPr="003D27BD">
        <w:rPr>
          <w:rFonts w:ascii="Times New Roman" w:hAnsi="Times New Roman" w:cs="Times New Roman"/>
        </w:rPr>
        <w:t>, direct or foreseeable pecuniary harms that are a consequence of an employer’s unfair labor practices.</w:t>
      </w:r>
      <w:r w:rsidRPr="003D27BD">
        <w:t xml:space="preserve"> </w:t>
      </w:r>
      <w:r w:rsidRPr="003D27BD">
        <w:rPr>
          <w:rFonts w:ascii="Times New Roman" w:hAnsi="Times New Roman" w:cs="Times New Roman"/>
        </w:rPr>
        <w:t>The Board held that these expanded remedies now will be available “in every case in which [the Board’s] standard remedy would include make-whole relief, regardless of the egregiousness of the violation,” and that they will apply retroactively in all pending cases in the absence of “manifest injustice.” While it is likely that the Board’s decision will face legal challenges, employers are advised that the universe of remedies available to employees for unfair labor practices have</w:t>
      </w:r>
      <w:r w:rsidR="00651C4C">
        <w:rPr>
          <w:rFonts w:ascii="Times New Roman" w:hAnsi="Times New Roman" w:cs="Times New Roman"/>
        </w:rPr>
        <w:t xml:space="preserve"> expanded, and may continue to expand.</w:t>
      </w:r>
      <w:r w:rsidRPr="003D27BD">
        <w:rPr>
          <w:rFonts w:ascii="Times New Roman" w:hAnsi="Times New Roman" w:cs="Times New Roman"/>
        </w:rPr>
        <w:t xml:space="preserve"> </w:t>
      </w:r>
    </w:p>
    <w:p w14:paraId="46419104" w14:textId="44336042" w:rsidR="003D27BD" w:rsidRDefault="003D27BD" w:rsidP="003D27BD">
      <w:pPr>
        <w:jc w:val="both"/>
        <w:rPr>
          <w:rFonts w:ascii="Times New Roman" w:hAnsi="Times New Roman" w:cs="Times New Roman"/>
        </w:rPr>
      </w:pPr>
    </w:p>
    <w:p w14:paraId="02008D69" w14:textId="5EC70B7F" w:rsidR="003D27BD" w:rsidRDefault="003D27BD" w:rsidP="003D27BD">
      <w:pPr>
        <w:jc w:val="both"/>
        <w:rPr>
          <w:rFonts w:ascii="Times New Roman" w:hAnsi="Times New Roman" w:cs="Times New Roman"/>
        </w:rPr>
      </w:pPr>
      <w:r>
        <w:rPr>
          <w:rFonts w:ascii="Times New Roman" w:hAnsi="Times New Roman" w:cs="Times New Roman"/>
        </w:rPr>
        <w:t xml:space="preserve">In </w:t>
      </w:r>
      <w:hyperlink r:id="rId9" w:history="1">
        <w:r w:rsidRPr="000B59BB">
          <w:rPr>
            <w:rStyle w:val="Hyperlink"/>
            <w:rFonts w:ascii="Times New Roman" w:hAnsi="Times New Roman" w:cs="Times New Roman"/>
            <w:i/>
            <w:iCs/>
          </w:rPr>
          <w:t>AmericanSteel Construction, Inc.</w:t>
        </w:r>
      </w:hyperlink>
      <w:r>
        <w:rPr>
          <w:rFonts w:ascii="Times New Roman" w:hAnsi="Times New Roman" w:cs="Times New Roman"/>
        </w:rPr>
        <w:t xml:space="preserve">, </w:t>
      </w:r>
      <w:r w:rsidR="000B59BB">
        <w:rPr>
          <w:rFonts w:ascii="Times New Roman" w:hAnsi="Times New Roman" w:cs="Times New Roman"/>
        </w:rPr>
        <w:t xml:space="preserve">the Board reinstated a rule that makes it easier for unions to organize in “micro-units,” and puts the burden back on employers to demonstrate why a union’s sought-after micro-unit should be rejected. Employers challenging the creation of micro-units now bear the burden of proving that workers excluded from a bargaining unit share “an overwhelming community of interest” with those within that proposed unit such that there is no rational basis for their exclusion. By returning to this standard, unions will now have an easier time creating (and employers, a harder time defeating) small subsets of bargaining units within the workplace.  </w:t>
      </w:r>
    </w:p>
    <w:p w14:paraId="5D38FEA7" w14:textId="6E8E338B" w:rsidR="00711294" w:rsidRDefault="00711294" w:rsidP="003D27BD">
      <w:pPr>
        <w:jc w:val="both"/>
        <w:rPr>
          <w:rFonts w:ascii="Times New Roman" w:hAnsi="Times New Roman" w:cs="Times New Roman"/>
        </w:rPr>
      </w:pPr>
    </w:p>
    <w:p w14:paraId="605C4465" w14:textId="7D6D61F7" w:rsidR="00711294" w:rsidRPr="003D27BD" w:rsidRDefault="00711294" w:rsidP="00251A88">
      <w:pPr>
        <w:jc w:val="both"/>
        <w:rPr>
          <w:rFonts w:ascii="Times New Roman" w:hAnsi="Times New Roman" w:cs="Times New Roman"/>
        </w:rPr>
      </w:pPr>
      <w:r>
        <w:rPr>
          <w:rFonts w:ascii="Times New Roman" w:hAnsi="Times New Roman" w:cs="Times New Roman"/>
        </w:rPr>
        <w:t>I</w:t>
      </w:r>
      <w:r w:rsidRPr="00711294">
        <w:rPr>
          <w:rFonts w:ascii="Times New Roman" w:hAnsi="Times New Roman" w:cs="Times New Roman"/>
        </w:rPr>
        <w:t xml:space="preserve">n </w:t>
      </w:r>
      <w:hyperlink r:id="rId10" w:history="1">
        <w:r w:rsidRPr="00251A88">
          <w:rPr>
            <w:rStyle w:val="Hyperlink"/>
            <w:rFonts w:ascii="Times New Roman" w:hAnsi="Times New Roman" w:cs="Times New Roman"/>
            <w:i/>
            <w:iCs/>
          </w:rPr>
          <w:t>Bexar County Performing Arts Center (Bexar II)</w:t>
        </w:r>
      </w:hyperlink>
      <w:r w:rsidRPr="00711294">
        <w:rPr>
          <w:rFonts w:ascii="Times New Roman" w:hAnsi="Times New Roman" w:cs="Times New Roman"/>
        </w:rPr>
        <w:t>,</w:t>
      </w:r>
      <w:r>
        <w:rPr>
          <w:rFonts w:ascii="Times New Roman" w:hAnsi="Times New Roman" w:cs="Times New Roman"/>
        </w:rPr>
        <w:t xml:space="preserve"> </w:t>
      </w:r>
      <w:r w:rsidRPr="00711294">
        <w:rPr>
          <w:rFonts w:ascii="Times New Roman" w:hAnsi="Times New Roman" w:cs="Times New Roman"/>
        </w:rPr>
        <w:t xml:space="preserve">unionized performers with the San Antonio Symphony </w:t>
      </w:r>
      <w:r>
        <w:rPr>
          <w:rFonts w:ascii="Times New Roman" w:hAnsi="Times New Roman" w:cs="Times New Roman"/>
        </w:rPr>
        <w:t>protested</w:t>
      </w:r>
      <w:r w:rsidRPr="00711294">
        <w:rPr>
          <w:rFonts w:ascii="Times New Roman" w:hAnsi="Times New Roman" w:cs="Times New Roman"/>
        </w:rPr>
        <w:t xml:space="preserve"> at the Bexar County Performing Arts Center</w:t>
      </w:r>
      <w:r>
        <w:rPr>
          <w:rFonts w:ascii="Times New Roman" w:hAnsi="Times New Roman" w:cs="Times New Roman"/>
        </w:rPr>
        <w:t xml:space="preserve">. </w:t>
      </w:r>
      <w:r w:rsidRPr="00711294">
        <w:rPr>
          <w:rFonts w:ascii="Times New Roman" w:hAnsi="Times New Roman" w:cs="Times New Roman"/>
        </w:rPr>
        <w:t>The Performing Arts Center</w:t>
      </w:r>
      <w:r>
        <w:rPr>
          <w:rFonts w:ascii="Times New Roman" w:hAnsi="Times New Roman" w:cs="Times New Roman"/>
        </w:rPr>
        <w:t>, in turn,</w:t>
      </w:r>
      <w:r w:rsidRPr="00711294">
        <w:rPr>
          <w:rFonts w:ascii="Times New Roman" w:hAnsi="Times New Roman" w:cs="Times New Roman"/>
        </w:rPr>
        <w:t xml:space="preserve"> kicked the protestors off the property.</w:t>
      </w:r>
      <w:r w:rsidRPr="00711294">
        <w:t xml:space="preserve"> </w:t>
      </w:r>
      <w:r>
        <w:rPr>
          <w:rFonts w:ascii="Times New Roman" w:hAnsi="Times New Roman" w:cs="Times New Roman"/>
        </w:rPr>
        <w:t xml:space="preserve">In its decision, the Board held that </w:t>
      </w:r>
      <w:r w:rsidRPr="00711294">
        <w:rPr>
          <w:rFonts w:ascii="Times New Roman" w:hAnsi="Times New Roman" w:cs="Times New Roman"/>
        </w:rPr>
        <w:t>the Performing Arts Center violated the NLRA by barring employees of the San Antonio Symphony from protesting on its property</w:t>
      </w:r>
      <w:r>
        <w:rPr>
          <w:rFonts w:ascii="Times New Roman" w:hAnsi="Times New Roman" w:cs="Times New Roman"/>
        </w:rPr>
        <w:t xml:space="preserve">. </w:t>
      </w:r>
      <w:r w:rsidRPr="00711294">
        <w:rPr>
          <w:rFonts w:ascii="Times New Roman" w:hAnsi="Times New Roman" w:cs="Times New Roman"/>
        </w:rPr>
        <w:t xml:space="preserve">In so doing, the Board </w:t>
      </w:r>
      <w:r w:rsidR="00251A88">
        <w:rPr>
          <w:rFonts w:ascii="Times New Roman" w:hAnsi="Times New Roman" w:cs="Times New Roman"/>
        </w:rPr>
        <w:t>reverted back to its prior, union and employee-friendly</w:t>
      </w:r>
      <w:r>
        <w:rPr>
          <w:rFonts w:ascii="Times New Roman" w:hAnsi="Times New Roman" w:cs="Times New Roman"/>
        </w:rPr>
        <w:t xml:space="preserve"> standard concerning property rights</w:t>
      </w:r>
      <w:r w:rsidR="000268B2">
        <w:rPr>
          <w:rFonts w:ascii="Times New Roman" w:hAnsi="Times New Roman" w:cs="Times New Roman"/>
        </w:rPr>
        <w:t>. Under that standard,</w:t>
      </w:r>
      <w:r w:rsidR="00251A88">
        <w:rPr>
          <w:rFonts w:ascii="Times New Roman" w:hAnsi="Times New Roman" w:cs="Times New Roman"/>
        </w:rPr>
        <w:t xml:space="preserve"> </w:t>
      </w:r>
      <w:r w:rsidR="00251A88" w:rsidRPr="00251A88">
        <w:rPr>
          <w:rFonts w:ascii="Times New Roman" w:hAnsi="Times New Roman" w:cs="Times New Roman"/>
        </w:rPr>
        <w:t>a</w:t>
      </w:r>
      <w:r w:rsidR="00251A88">
        <w:rPr>
          <w:rFonts w:ascii="Times New Roman" w:hAnsi="Times New Roman" w:cs="Times New Roman"/>
        </w:rPr>
        <w:t xml:space="preserve"> </w:t>
      </w:r>
      <w:r w:rsidR="00251A88" w:rsidRPr="00251A88">
        <w:rPr>
          <w:rFonts w:ascii="Times New Roman" w:hAnsi="Times New Roman" w:cs="Times New Roman"/>
        </w:rPr>
        <w:t>property owner may lawfully exclude from its property</w:t>
      </w:r>
      <w:r w:rsidR="00251A88">
        <w:rPr>
          <w:rFonts w:ascii="Times New Roman" w:hAnsi="Times New Roman" w:cs="Times New Roman"/>
        </w:rPr>
        <w:t xml:space="preserve"> </w:t>
      </w:r>
      <w:r w:rsidR="00251A88" w:rsidRPr="00251A88">
        <w:rPr>
          <w:rFonts w:ascii="Times New Roman" w:hAnsi="Times New Roman" w:cs="Times New Roman"/>
        </w:rPr>
        <w:t>off-duty employees who regularly work on the property</w:t>
      </w:r>
      <w:r w:rsidR="00251A88">
        <w:rPr>
          <w:rFonts w:ascii="Times New Roman" w:hAnsi="Times New Roman" w:cs="Times New Roman"/>
        </w:rPr>
        <w:t xml:space="preserve"> </w:t>
      </w:r>
      <w:r w:rsidR="00251A88" w:rsidRPr="00251A88">
        <w:rPr>
          <w:rFonts w:ascii="Times New Roman" w:hAnsi="Times New Roman" w:cs="Times New Roman"/>
        </w:rPr>
        <w:t>for an onsite contractor and who seek to engage in Section 7 activity on the property only where the property</w:t>
      </w:r>
      <w:r w:rsidR="00251A88">
        <w:rPr>
          <w:rFonts w:ascii="Times New Roman" w:hAnsi="Times New Roman" w:cs="Times New Roman"/>
        </w:rPr>
        <w:t xml:space="preserve"> </w:t>
      </w:r>
      <w:r w:rsidR="00251A88" w:rsidRPr="00251A88">
        <w:rPr>
          <w:rFonts w:ascii="Times New Roman" w:hAnsi="Times New Roman" w:cs="Times New Roman"/>
        </w:rPr>
        <w:t>owner is able to demonstrate that the contractor employees’ Section 7 activity significantly interferes with the</w:t>
      </w:r>
      <w:r w:rsidR="00251A88">
        <w:rPr>
          <w:rFonts w:ascii="Times New Roman" w:hAnsi="Times New Roman" w:cs="Times New Roman"/>
        </w:rPr>
        <w:t xml:space="preserve"> </w:t>
      </w:r>
      <w:r w:rsidR="00251A88" w:rsidRPr="00251A88">
        <w:rPr>
          <w:rFonts w:ascii="Times New Roman" w:hAnsi="Times New Roman" w:cs="Times New Roman"/>
        </w:rPr>
        <w:t>use of the property or where exclusion is justified by</w:t>
      </w:r>
      <w:r w:rsidR="00251A88">
        <w:rPr>
          <w:rFonts w:ascii="Times New Roman" w:hAnsi="Times New Roman" w:cs="Times New Roman"/>
        </w:rPr>
        <w:t xml:space="preserve"> </w:t>
      </w:r>
      <w:r w:rsidR="00251A88" w:rsidRPr="00251A88">
        <w:rPr>
          <w:rFonts w:ascii="Times New Roman" w:hAnsi="Times New Roman" w:cs="Times New Roman"/>
        </w:rPr>
        <w:t>another legitimate business reason</w:t>
      </w:r>
      <w:r w:rsidR="00251A88">
        <w:rPr>
          <w:rFonts w:ascii="Times New Roman" w:hAnsi="Times New Roman" w:cs="Times New Roman"/>
        </w:rPr>
        <w:t>. U</w:t>
      </w:r>
      <w:r w:rsidR="00251A88" w:rsidRPr="00251A88">
        <w:rPr>
          <w:rFonts w:ascii="Times New Roman" w:hAnsi="Times New Roman" w:cs="Times New Roman"/>
        </w:rPr>
        <w:t xml:space="preserve">nless an employer can show why its property interests are greater than the Section 7 interest of employees of contractors that perform services on its property, the employer/property owner will </w:t>
      </w:r>
      <w:r w:rsidR="00251A88" w:rsidRPr="00251A88">
        <w:rPr>
          <w:rFonts w:ascii="Times New Roman" w:hAnsi="Times New Roman" w:cs="Times New Roman"/>
        </w:rPr>
        <w:lastRenderedPageBreak/>
        <w:t>engage in an unfair labor practice by removing those employees from the premises to stop or prevent protected concerted activities.</w:t>
      </w:r>
    </w:p>
    <w:p w14:paraId="065158AB" w14:textId="77777777" w:rsidR="009425C3" w:rsidRDefault="009425C3" w:rsidP="009425C3">
      <w:pPr>
        <w:jc w:val="both"/>
        <w:rPr>
          <w:rFonts w:ascii="Times New Roman" w:hAnsi="Times New Roman" w:cs="Times New Roman"/>
        </w:rPr>
      </w:pPr>
    </w:p>
    <w:p w14:paraId="79C355C9" w14:textId="77777777" w:rsidR="009425C3" w:rsidRPr="009425C3" w:rsidRDefault="009425C3" w:rsidP="009425C3">
      <w:pPr>
        <w:jc w:val="center"/>
        <w:rPr>
          <w:rFonts w:ascii="Times New Roman" w:hAnsi="Times New Roman" w:cs="Times New Roman"/>
          <w:color w:val="0070C0"/>
        </w:rPr>
      </w:pPr>
      <w:r w:rsidRPr="009425C3">
        <w:rPr>
          <w:rFonts w:ascii="Times New Roman" w:hAnsi="Times New Roman" w:cs="Times New Roman"/>
          <w:b/>
          <w:bCs/>
          <w:color w:val="0070C0"/>
        </w:rPr>
        <w:t xml:space="preserve">Employee </w:t>
      </w:r>
      <w:proofErr w:type="gramStart"/>
      <w:r w:rsidRPr="009425C3">
        <w:rPr>
          <w:rFonts w:ascii="Times New Roman" w:hAnsi="Times New Roman" w:cs="Times New Roman"/>
          <w:b/>
          <w:bCs/>
          <w:color w:val="0070C0"/>
        </w:rPr>
        <w:t>Social Media</w:t>
      </w:r>
      <w:proofErr w:type="gramEnd"/>
      <w:r w:rsidRPr="009425C3">
        <w:rPr>
          <w:rFonts w:ascii="Times New Roman" w:hAnsi="Times New Roman" w:cs="Times New Roman"/>
          <w:b/>
          <w:bCs/>
          <w:color w:val="0070C0"/>
        </w:rPr>
        <w:t xml:space="preserve"> Posting in a Polarized Environment</w:t>
      </w:r>
    </w:p>
    <w:p w14:paraId="5268A2E8" w14:textId="77777777" w:rsidR="009425C3" w:rsidRDefault="009425C3" w:rsidP="009425C3">
      <w:pPr>
        <w:jc w:val="both"/>
        <w:rPr>
          <w:rFonts w:ascii="Times New Roman" w:hAnsi="Times New Roman" w:cs="Times New Roman"/>
        </w:rPr>
      </w:pPr>
    </w:p>
    <w:p w14:paraId="55BEECAA" w14:textId="42159E59" w:rsidR="009425C3" w:rsidRDefault="009425C3" w:rsidP="009425C3">
      <w:pPr>
        <w:jc w:val="both"/>
        <w:rPr>
          <w:rFonts w:ascii="Times New Roman" w:hAnsi="Times New Roman" w:cs="Times New Roman"/>
        </w:rPr>
      </w:pPr>
      <w:r>
        <w:rPr>
          <w:rFonts w:ascii="Times New Roman" w:hAnsi="Times New Roman" w:cs="Times New Roman"/>
        </w:rPr>
        <w:t xml:space="preserve">With social media use continuing to rise, now is a good time to take stock of your company’s social media policy so employees understand what can land them in hot water. Employers should make clear to employees that they may not hold themselves out as speaking for or on behalf of the company.  Your policy should also tell employees, among other things, that: </w:t>
      </w:r>
    </w:p>
    <w:p w14:paraId="188A1E49" w14:textId="77777777" w:rsidR="009425C3" w:rsidRDefault="009425C3" w:rsidP="009425C3">
      <w:pPr>
        <w:jc w:val="both"/>
        <w:rPr>
          <w:rFonts w:ascii="Times New Roman" w:hAnsi="Times New Roman" w:cs="Times New Roman"/>
        </w:rPr>
      </w:pPr>
    </w:p>
    <w:p w14:paraId="05B898E9" w14:textId="77777777" w:rsidR="009425C3" w:rsidRDefault="009425C3" w:rsidP="009425C3">
      <w:pPr>
        <w:pStyle w:val="ListParagraph"/>
        <w:numPr>
          <w:ilvl w:val="0"/>
          <w:numId w:val="30"/>
        </w:numPr>
        <w:jc w:val="both"/>
        <w:rPr>
          <w:rFonts w:ascii="Times New Roman" w:hAnsi="Times New Roman" w:cs="Times New Roman"/>
        </w:rPr>
      </w:pPr>
      <w:r>
        <w:rPr>
          <w:rFonts w:ascii="Times New Roman" w:hAnsi="Times New Roman" w:cs="Times New Roman"/>
        </w:rPr>
        <w:t>They should avoid posts that could be viewed as harassing or threatening violence, towards other employees or anyone else;</w:t>
      </w:r>
    </w:p>
    <w:p w14:paraId="15CED393" w14:textId="77777777" w:rsidR="009425C3" w:rsidRDefault="009425C3" w:rsidP="009425C3">
      <w:pPr>
        <w:pStyle w:val="ListParagraph"/>
        <w:numPr>
          <w:ilvl w:val="0"/>
          <w:numId w:val="30"/>
        </w:numPr>
        <w:jc w:val="both"/>
        <w:rPr>
          <w:rFonts w:ascii="Times New Roman" w:hAnsi="Times New Roman" w:cs="Times New Roman"/>
        </w:rPr>
      </w:pPr>
      <w:r>
        <w:rPr>
          <w:rFonts w:ascii="Times New Roman" w:hAnsi="Times New Roman" w:cs="Times New Roman"/>
        </w:rPr>
        <w:t>They should avoid making posts that show a reckless disregard for the truth when posting information or news;</w:t>
      </w:r>
    </w:p>
    <w:p w14:paraId="3A977955" w14:textId="77777777" w:rsidR="009425C3" w:rsidRDefault="009425C3" w:rsidP="009425C3">
      <w:pPr>
        <w:pStyle w:val="ListParagraph"/>
        <w:numPr>
          <w:ilvl w:val="0"/>
          <w:numId w:val="30"/>
        </w:numPr>
        <w:jc w:val="both"/>
        <w:rPr>
          <w:rFonts w:ascii="Times New Roman" w:hAnsi="Times New Roman" w:cs="Times New Roman"/>
        </w:rPr>
      </w:pPr>
      <w:r>
        <w:rPr>
          <w:rFonts w:ascii="Times New Roman" w:hAnsi="Times New Roman" w:cs="Times New Roman"/>
        </w:rPr>
        <w:t>They are prohibited from disclosing the company’s confidential information on social media (or anywhere else except as provided for in your confidentiality policy); and</w:t>
      </w:r>
    </w:p>
    <w:p w14:paraId="60167DEE" w14:textId="77777777" w:rsidR="009425C3" w:rsidRDefault="009425C3" w:rsidP="009425C3">
      <w:pPr>
        <w:pStyle w:val="ListParagraph"/>
        <w:numPr>
          <w:ilvl w:val="0"/>
          <w:numId w:val="30"/>
        </w:numPr>
        <w:jc w:val="both"/>
        <w:rPr>
          <w:rFonts w:ascii="Times New Roman" w:hAnsi="Times New Roman" w:cs="Times New Roman"/>
        </w:rPr>
      </w:pPr>
      <w:r>
        <w:rPr>
          <w:rFonts w:ascii="Times New Roman" w:hAnsi="Times New Roman" w:cs="Times New Roman"/>
        </w:rPr>
        <w:t xml:space="preserve">They are prohibited from posting anything that would violate any company policy. </w:t>
      </w:r>
    </w:p>
    <w:p w14:paraId="59E9FB4F" w14:textId="77777777" w:rsidR="009425C3" w:rsidRDefault="009425C3" w:rsidP="009425C3">
      <w:pPr>
        <w:jc w:val="both"/>
        <w:rPr>
          <w:rFonts w:ascii="Times New Roman" w:hAnsi="Times New Roman" w:cs="Times New Roman"/>
        </w:rPr>
      </w:pPr>
    </w:p>
    <w:p w14:paraId="74589C05" w14:textId="47FAD889" w:rsidR="009425C3" w:rsidRPr="00251A88" w:rsidRDefault="009425C3" w:rsidP="009425C3">
      <w:pPr>
        <w:jc w:val="both"/>
        <w:rPr>
          <w:rFonts w:ascii="Times New Roman" w:hAnsi="Times New Roman" w:cs="Times New Roman"/>
          <w:color w:val="0000FF"/>
          <w:u w:val="single"/>
        </w:rPr>
      </w:pPr>
      <w:r>
        <w:rPr>
          <w:rFonts w:ascii="Times New Roman" w:hAnsi="Times New Roman" w:cs="Times New Roman"/>
        </w:rPr>
        <w:t>In addition, the policy should contain disclaimer language confirming that nothing in the policy prevents employees from exercising the rights guaranteed to them under Section 7 of the National Labor Relations Act. We have prepared a sample social media policy available for review here:</w:t>
      </w:r>
      <w:r w:rsidRPr="00A33A06">
        <w:t xml:space="preserve"> </w:t>
      </w:r>
      <w:hyperlink r:id="rId11" w:history="1">
        <w:r w:rsidRPr="002045BC">
          <w:rPr>
            <w:rStyle w:val="Hyperlink"/>
            <w:rFonts w:ascii="Times New Roman" w:hAnsi="Times New Roman" w:cs="Times New Roman"/>
          </w:rPr>
          <w:t>https://roelawgroup.com/sample-social-media-policy-2/</w:t>
        </w:r>
      </w:hyperlink>
      <w:r w:rsidR="00251A88">
        <w:rPr>
          <w:rStyle w:val="Hyperlink"/>
          <w:rFonts w:ascii="Times New Roman" w:hAnsi="Times New Roman" w:cs="Times New Roman"/>
        </w:rPr>
        <w:t xml:space="preserve"> </w:t>
      </w:r>
      <w:r>
        <w:rPr>
          <w:rFonts w:ascii="Times New Roman" w:hAnsi="Times New Roman" w:cs="Times New Roman"/>
        </w:rPr>
        <w:t xml:space="preserve">Unfortunately, a social media policy cannot cover every circumstance. You may need to address some posts on a case-by-case basis (in consultation with your counsel as needed) consistent with your policies, like those for conduct and discipline.  </w:t>
      </w:r>
    </w:p>
    <w:p w14:paraId="066665F4" w14:textId="77777777" w:rsidR="009425C3" w:rsidRDefault="009425C3" w:rsidP="009425C3">
      <w:pPr>
        <w:jc w:val="both"/>
        <w:rPr>
          <w:rFonts w:ascii="Times New Roman" w:hAnsi="Times New Roman" w:cs="Times New Roman"/>
        </w:rPr>
      </w:pPr>
    </w:p>
    <w:p w14:paraId="2161F81E" w14:textId="77777777" w:rsidR="009425C3" w:rsidRPr="009425C3" w:rsidRDefault="009425C3" w:rsidP="009425C3">
      <w:pPr>
        <w:jc w:val="center"/>
        <w:rPr>
          <w:rFonts w:ascii="Times New Roman" w:hAnsi="Times New Roman" w:cs="Times New Roman"/>
          <w:color w:val="0070C0"/>
        </w:rPr>
      </w:pPr>
      <w:r w:rsidRPr="009425C3">
        <w:rPr>
          <w:rFonts w:ascii="Times New Roman" w:hAnsi="Times New Roman" w:cs="Times New Roman"/>
          <w:b/>
          <w:bCs/>
          <w:color w:val="0070C0"/>
        </w:rPr>
        <w:t>Updates from Around the States</w:t>
      </w:r>
    </w:p>
    <w:p w14:paraId="46784C66" w14:textId="77777777" w:rsidR="009425C3" w:rsidRDefault="009425C3" w:rsidP="009425C3">
      <w:pPr>
        <w:jc w:val="both"/>
        <w:rPr>
          <w:rFonts w:ascii="Times New Roman" w:hAnsi="Times New Roman" w:cs="Times New Roman"/>
        </w:rPr>
      </w:pPr>
    </w:p>
    <w:p w14:paraId="1017B30F" w14:textId="77777777" w:rsidR="009425C3" w:rsidRDefault="009425C3" w:rsidP="009425C3">
      <w:pPr>
        <w:jc w:val="both"/>
        <w:rPr>
          <w:rFonts w:ascii="Times New Roman" w:hAnsi="Times New Roman" w:cs="Times New Roman"/>
        </w:rPr>
      </w:pPr>
      <w:r>
        <w:rPr>
          <w:rFonts w:ascii="Times New Roman" w:hAnsi="Times New Roman" w:cs="Times New Roman"/>
        </w:rPr>
        <w:t>As we approach the end of the year, employers should be mindful of new laws that now impact, or may soon impact, their operations. Below are a few laws that we thought were worth noting:</w:t>
      </w:r>
    </w:p>
    <w:p w14:paraId="783CFD4B" w14:textId="77777777" w:rsidR="009425C3" w:rsidRDefault="009425C3" w:rsidP="009425C3">
      <w:pPr>
        <w:jc w:val="both"/>
        <w:rPr>
          <w:rFonts w:ascii="Times New Roman" w:hAnsi="Times New Roman" w:cs="Times New Roman"/>
        </w:rPr>
      </w:pPr>
    </w:p>
    <w:p w14:paraId="56CE24F3" w14:textId="2FB82D48" w:rsidR="009425C3" w:rsidRDefault="009425C3" w:rsidP="009425C3">
      <w:pPr>
        <w:jc w:val="both"/>
        <w:rPr>
          <w:rFonts w:ascii="Times New Roman" w:hAnsi="Times New Roman" w:cs="Times New Roman"/>
          <w:u w:val="single"/>
        </w:rPr>
      </w:pPr>
      <w:r w:rsidRPr="00560017">
        <w:rPr>
          <w:rFonts w:ascii="Times New Roman" w:hAnsi="Times New Roman" w:cs="Times New Roman"/>
          <w:u w:val="single"/>
        </w:rPr>
        <w:t xml:space="preserve">New York </w:t>
      </w:r>
      <w:r w:rsidR="008D4B86">
        <w:rPr>
          <w:rFonts w:ascii="Times New Roman" w:hAnsi="Times New Roman" w:cs="Times New Roman"/>
          <w:u w:val="single"/>
        </w:rPr>
        <w:t>State Enacts</w:t>
      </w:r>
      <w:r w:rsidRPr="00560017">
        <w:rPr>
          <w:rFonts w:ascii="Times New Roman" w:hAnsi="Times New Roman" w:cs="Times New Roman"/>
          <w:u w:val="single"/>
        </w:rPr>
        <w:t xml:space="preserve"> Pay Transparency Law</w:t>
      </w:r>
    </w:p>
    <w:p w14:paraId="3D6C5E1C" w14:textId="77777777" w:rsidR="009425C3" w:rsidRPr="00560017" w:rsidRDefault="009425C3" w:rsidP="009425C3">
      <w:pPr>
        <w:jc w:val="both"/>
        <w:rPr>
          <w:rFonts w:ascii="Times New Roman" w:hAnsi="Times New Roman" w:cs="Times New Roman"/>
          <w:u w:val="single"/>
        </w:rPr>
      </w:pPr>
    </w:p>
    <w:p w14:paraId="667B9953" w14:textId="1EBDD483" w:rsidR="004812DB" w:rsidRPr="004812DB" w:rsidRDefault="004812DB" w:rsidP="004812DB">
      <w:pPr>
        <w:jc w:val="both"/>
        <w:rPr>
          <w:rFonts w:ascii="Times New Roman" w:hAnsi="Times New Roman" w:cs="Times New Roman"/>
        </w:rPr>
      </w:pPr>
      <w:r w:rsidRPr="004812DB">
        <w:rPr>
          <w:rFonts w:ascii="Times New Roman" w:hAnsi="Times New Roman" w:cs="Times New Roman"/>
        </w:rPr>
        <w:t xml:space="preserve">On December 21, 2022, Governor Kathy Hochul signed the New York Pay Transparency Law </w:t>
      </w:r>
      <w:r>
        <w:rPr>
          <w:rFonts w:ascii="Times New Roman" w:hAnsi="Times New Roman" w:cs="Times New Roman"/>
        </w:rPr>
        <w:t>(</w:t>
      </w:r>
      <w:r w:rsidRPr="004812DB">
        <w:rPr>
          <w:rFonts w:ascii="Times New Roman" w:hAnsi="Times New Roman" w:cs="Times New Roman"/>
        </w:rPr>
        <w:t>“NYPTL”</w:t>
      </w:r>
      <w:r>
        <w:rPr>
          <w:rFonts w:ascii="Times New Roman" w:hAnsi="Times New Roman" w:cs="Times New Roman"/>
        </w:rPr>
        <w:t>)</w:t>
      </w:r>
      <w:r w:rsidRPr="004812DB">
        <w:rPr>
          <w:rFonts w:ascii="Times New Roman" w:hAnsi="Times New Roman" w:cs="Times New Roman"/>
        </w:rPr>
        <w:t xml:space="preserve">, </w:t>
      </w:r>
      <w:r>
        <w:rPr>
          <w:rFonts w:ascii="Times New Roman" w:hAnsi="Times New Roman" w:cs="Times New Roman"/>
        </w:rPr>
        <w:t>which will</w:t>
      </w:r>
      <w:r w:rsidRPr="004812DB">
        <w:rPr>
          <w:rFonts w:ascii="Times New Roman" w:hAnsi="Times New Roman" w:cs="Times New Roman"/>
        </w:rPr>
        <w:t xml:space="preserve"> take effect on September 18, 2023.</w:t>
      </w:r>
      <w:r>
        <w:rPr>
          <w:rFonts w:ascii="Times New Roman" w:hAnsi="Times New Roman" w:cs="Times New Roman"/>
        </w:rPr>
        <w:t xml:space="preserve"> </w:t>
      </w:r>
      <w:r w:rsidRPr="004812DB">
        <w:rPr>
          <w:rFonts w:ascii="Times New Roman" w:hAnsi="Times New Roman" w:cs="Times New Roman"/>
        </w:rPr>
        <w:t xml:space="preserve">The NYPTL </w:t>
      </w:r>
      <w:r>
        <w:rPr>
          <w:rFonts w:ascii="Times New Roman" w:hAnsi="Times New Roman" w:cs="Times New Roman"/>
        </w:rPr>
        <w:t>will</w:t>
      </w:r>
      <w:r w:rsidRPr="004812DB">
        <w:rPr>
          <w:rFonts w:ascii="Times New Roman" w:hAnsi="Times New Roman" w:cs="Times New Roman"/>
        </w:rPr>
        <w:t xml:space="preserve"> require covered employers to include the following information in advertisements for internal and external “job, promotion, or transfer opportunities”:</w:t>
      </w:r>
    </w:p>
    <w:p w14:paraId="2EB5F1BA" w14:textId="77777777" w:rsidR="004812DB" w:rsidRPr="004812DB" w:rsidRDefault="004812DB" w:rsidP="004812DB">
      <w:pPr>
        <w:jc w:val="both"/>
        <w:rPr>
          <w:rFonts w:ascii="Times New Roman" w:hAnsi="Times New Roman" w:cs="Times New Roman"/>
        </w:rPr>
      </w:pPr>
    </w:p>
    <w:p w14:paraId="1DA16985" w14:textId="77777777" w:rsidR="004812DB" w:rsidRDefault="004812DB" w:rsidP="004812DB">
      <w:pPr>
        <w:pStyle w:val="ListParagraph"/>
        <w:numPr>
          <w:ilvl w:val="0"/>
          <w:numId w:val="34"/>
        </w:numPr>
        <w:jc w:val="both"/>
        <w:rPr>
          <w:rFonts w:ascii="Times New Roman" w:hAnsi="Times New Roman" w:cs="Times New Roman"/>
        </w:rPr>
      </w:pPr>
      <w:r w:rsidRPr="004812DB">
        <w:rPr>
          <w:rFonts w:ascii="Times New Roman" w:hAnsi="Times New Roman" w:cs="Times New Roman"/>
        </w:rPr>
        <w:t>The compensation or range of compensation that the employer in good faith believes to be accurate at the time of posting;</w:t>
      </w:r>
    </w:p>
    <w:p w14:paraId="5174E69A" w14:textId="77777777" w:rsidR="004812DB" w:rsidRDefault="004812DB" w:rsidP="004812DB">
      <w:pPr>
        <w:pStyle w:val="ListParagraph"/>
        <w:numPr>
          <w:ilvl w:val="0"/>
          <w:numId w:val="34"/>
        </w:numPr>
        <w:jc w:val="both"/>
        <w:rPr>
          <w:rFonts w:ascii="Times New Roman" w:hAnsi="Times New Roman" w:cs="Times New Roman"/>
        </w:rPr>
      </w:pPr>
      <w:r w:rsidRPr="004812DB">
        <w:rPr>
          <w:rFonts w:ascii="Times New Roman" w:hAnsi="Times New Roman" w:cs="Times New Roman"/>
        </w:rPr>
        <w:t>The job description for the position, if one exists; and</w:t>
      </w:r>
    </w:p>
    <w:p w14:paraId="41D15941" w14:textId="08DE411F" w:rsidR="004812DB" w:rsidRPr="004812DB" w:rsidRDefault="004812DB" w:rsidP="004812DB">
      <w:pPr>
        <w:pStyle w:val="ListParagraph"/>
        <w:numPr>
          <w:ilvl w:val="0"/>
          <w:numId w:val="34"/>
        </w:numPr>
        <w:jc w:val="both"/>
        <w:rPr>
          <w:rFonts w:ascii="Times New Roman" w:hAnsi="Times New Roman" w:cs="Times New Roman"/>
        </w:rPr>
      </w:pPr>
      <w:r w:rsidRPr="004812DB">
        <w:rPr>
          <w:rFonts w:ascii="Times New Roman" w:hAnsi="Times New Roman" w:cs="Times New Roman"/>
        </w:rPr>
        <w:t>A “general description of other forms of compensation to be offered if applicable, including but not limited to fringe benefits, bonuses, stock options, or commissions.”</w:t>
      </w:r>
    </w:p>
    <w:p w14:paraId="2989795B" w14:textId="77777777" w:rsidR="004812DB" w:rsidRDefault="004812DB" w:rsidP="004812DB">
      <w:pPr>
        <w:jc w:val="both"/>
        <w:rPr>
          <w:rFonts w:ascii="Times New Roman" w:hAnsi="Times New Roman" w:cs="Times New Roman"/>
        </w:rPr>
      </w:pPr>
    </w:p>
    <w:p w14:paraId="355E2D9F" w14:textId="79FE340F" w:rsidR="004812DB" w:rsidRDefault="004812DB" w:rsidP="004812DB">
      <w:pPr>
        <w:jc w:val="both"/>
        <w:rPr>
          <w:rFonts w:ascii="Times New Roman" w:hAnsi="Times New Roman" w:cs="Times New Roman"/>
        </w:rPr>
      </w:pPr>
      <w:r w:rsidRPr="004812DB">
        <w:rPr>
          <w:rFonts w:ascii="Times New Roman" w:hAnsi="Times New Roman" w:cs="Times New Roman"/>
        </w:rPr>
        <w:t>Employers are covered under the NYPTL if they have four or more employees</w:t>
      </w:r>
      <w:r>
        <w:rPr>
          <w:rFonts w:ascii="Times New Roman" w:hAnsi="Times New Roman" w:cs="Times New Roman"/>
        </w:rPr>
        <w:t>; however,</w:t>
      </w:r>
      <w:r w:rsidRPr="004812DB">
        <w:rPr>
          <w:rFonts w:ascii="Times New Roman" w:hAnsi="Times New Roman" w:cs="Times New Roman"/>
        </w:rPr>
        <w:t xml:space="preserve"> the law is silent as to how many of those employees, if any, must work in the state of New York. A job </w:t>
      </w:r>
      <w:r w:rsidRPr="004812DB">
        <w:rPr>
          <w:rFonts w:ascii="Times New Roman" w:hAnsi="Times New Roman" w:cs="Times New Roman"/>
        </w:rPr>
        <w:lastRenderedPageBreak/>
        <w:t>advertisement is covered under the NYPTL if it is for a position that “can or will be performed in the state of New York,” which applies to advertisements for fully remote positions that could hypothetically be filled by a worker in New York.</w:t>
      </w:r>
    </w:p>
    <w:p w14:paraId="6A5D72F8" w14:textId="77777777" w:rsidR="004812DB" w:rsidRDefault="004812DB" w:rsidP="009425C3">
      <w:pPr>
        <w:jc w:val="both"/>
        <w:rPr>
          <w:rFonts w:ascii="Times New Roman" w:hAnsi="Times New Roman" w:cs="Times New Roman"/>
        </w:rPr>
      </w:pPr>
    </w:p>
    <w:p w14:paraId="01633E3A" w14:textId="031FF369" w:rsidR="009425C3" w:rsidRDefault="004812DB" w:rsidP="009425C3">
      <w:pPr>
        <w:jc w:val="both"/>
        <w:rPr>
          <w:rFonts w:ascii="Times New Roman" w:hAnsi="Times New Roman" w:cs="Times New Roman"/>
        </w:rPr>
      </w:pPr>
      <w:r>
        <w:rPr>
          <w:rFonts w:ascii="Times New Roman" w:hAnsi="Times New Roman" w:cs="Times New Roman"/>
        </w:rPr>
        <w:t xml:space="preserve">Employers in New York City </w:t>
      </w:r>
      <w:r w:rsidR="00FF5B61">
        <w:rPr>
          <w:rFonts w:ascii="Times New Roman" w:hAnsi="Times New Roman" w:cs="Times New Roman"/>
        </w:rPr>
        <w:t>have already had to comply with New York City’s pay transparency law, which took effect</w:t>
      </w:r>
      <w:r w:rsidR="009425C3" w:rsidRPr="00560017">
        <w:rPr>
          <w:rFonts w:ascii="Times New Roman" w:hAnsi="Times New Roman" w:cs="Times New Roman"/>
        </w:rPr>
        <w:t xml:space="preserve"> Nov</w:t>
      </w:r>
      <w:r w:rsidR="009425C3">
        <w:rPr>
          <w:rFonts w:ascii="Times New Roman" w:hAnsi="Times New Roman" w:cs="Times New Roman"/>
        </w:rPr>
        <w:t>ember</w:t>
      </w:r>
      <w:r w:rsidR="009425C3" w:rsidRPr="00560017">
        <w:rPr>
          <w:rFonts w:ascii="Times New Roman" w:hAnsi="Times New Roman" w:cs="Times New Roman"/>
        </w:rPr>
        <w:t xml:space="preserve"> 1,</w:t>
      </w:r>
      <w:r w:rsidR="009425C3">
        <w:rPr>
          <w:rFonts w:ascii="Times New Roman" w:hAnsi="Times New Roman" w:cs="Times New Roman"/>
        </w:rPr>
        <w:t xml:space="preserve"> 2022</w:t>
      </w:r>
      <w:r w:rsidR="009425C3" w:rsidRPr="00560017">
        <w:rPr>
          <w:rFonts w:ascii="Times New Roman" w:hAnsi="Times New Roman" w:cs="Times New Roman"/>
        </w:rPr>
        <w:t>. Th</w:t>
      </w:r>
      <w:r w:rsidR="00FF5B61">
        <w:rPr>
          <w:rFonts w:ascii="Times New Roman" w:hAnsi="Times New Roman" w:cs="Times New Roman"/>
        </w:rPr>
        <w:t>ese</w:t>
      </w:r>
      <w:r w:rsidR="009425C3" w:rsidRPr="00560017">
        <w:rPr>
          <w:rFonts w:ascii="Times New Roman" w:hAnsi="Times New Roman" w:cs="Times New Roman"/>
        </w:rPr>
        <w:t xml:space="preserve"> </w:t>
      </w:r>
      <w:r w:rsidR="009425C3">
        <w:rPr>
          <w:rFonts w:ascii="Times New Roman" w:hAnsi="Times New Roman" w:cs="Times New Roman"/>
        </w:rPr>
        <w:t>new</w:t>
      </w:r>
      <w:r w:rsidR="009425C3" w:rsidRPr="00560017">
        <w:rPr>
          <w:rFonts w:ascii="Times New Roman" w:hAnsi="Times New Roman" w:cs="Times New Roman"/>
        </w:rPr>
        <w:t xml:space="preserve"> </w:t>
      </w:r>
      <w:r w:rsidR="009425C3">
        <w:rPr>
          <w:rFonts w:ascii="Times New Roman" w:hAnsi="Times New Roman" w:cs="Times New Roman"/>
        </w:rPr>
        <w:t>t</w:t>
      </w:r>
      <w:r w:rsidR="009425C3" w:rsidRPr="00560017">
        <w:rPr>
          <w:rFonts w:ascii="Times New Roman" w:hAnsi="Times New Roman" w:cs="Times New Roman"/>
        </w:rPr>
        <w:t xml:space="preserve">ransparency </w:t>
      </w:r>
      <w:r w:rsidR="009425C3">
        <w:rPr>
          <w:rFonts w:ascii="Times New Roman" w:hAnsi="Times New Roman" w:cs="Times New Roman"/>
        </w:rPr>
        <w:t>l</w:t>
      </w:r>
      <w:r w:rsidR="009425C3" w:rsidRPr="00560017">
        <w:rPr>
          <w:rFonts w:ascii="Times New Roman" w:hAnsi="Times New Roman" w:cs="Times New Roman"/>
        </w:rPr>
        <w:t>aw</w:t>
      </w:r>
      <w:r w:rsidR="00FF5B61">
        <w:rPr>
          <w:rFonts w:ascii="Times New Roman" w:hAnsi="Times New Roman" w:cs="Times New Roman"/>
        </w:rPr>
        <w:t>s</w:t>
      </w:r>
      <w:r w:rsidR="009425C3" w:rsidRPr="00560017">
        <w:rPr>
          <w:rFonts w:ascii="Times New Roman" w:hAnsi="Times New Roman" w:cs="Times New Roman"/>
        </w:rPr>
        <w:t xml:space="preserve"> will likely result </w:t>
      </w:r>
      <w:r w:rsidR="009425C3">
        <w:rPr>
          <w:rFonts w:ascii="Times New Roman" w:hAnsi="Times New Roman" w:cs="Times New Roman"/>
        </w:rPr>
        <w:t>i</w:t>
      </w:r>
      <w:r w:rsidR="009425C3" w:rsidRPr="00560017">
        <w:rPr>
          <w:rFonts w:ascii="Times New Roman" w:hAnsi="Times New Roman" w:cs="Times New Roman"/>
        </w:rPr>
        <w:t>n pay compression and employers should immediately:</w:t>
      </w:r>
    </w:p>
    <w:p w14:paraId="5756F9AE" w14:textId="77777777" w:rsidR="009425C3" w:rsidRPr="00560017" w:rsidRDefault="009425C3" w:rsidP="009425C3">
      <w:pPr>
        <w:jc w:val="both"/>
        <w:rPr>
          <w:rFonts w:ascii="Times New Roman" w:hAnsi="Times New Roman" w:cs="Times New Roman"/>
        </w:rPr>
      </w:pPr>
    </w:p>
    <w:p w14:paraId="3EB57469" w14:textId="07F7E5D4" w:rsidR="009425C3" w:rsidRDefault="009425C3" w:rsidP="009425C3">
      <w:pPr>
        <w:pStyle w:val="ListParagraph"/>
        <w:numPr>
          <w:ilvl w:val="0"/>
          <w:numId w:val="31"/>
        </w:numPr>
        <w:jc w:val="both"/>
        <w:rPr>
          <w:rFonts w:ascii="Times New Roman" w:hAnsi="Times New Roman" w:cs="Times New Roman"/>
        </w:rPr>
      </w:pPr>
      <w:r w:rsidRPr="00560017">
        <w:rPr>
          <w:rFonts w:ascii="Times New Roman" w:hAnsi="Times New Roman" w:cs="Times New Roman"/>
        </w:rPr>
        <w:t xml:space="preserve">Ensure </w:t>
      </w:r>
      <w:r w:rsidR="00FF5B61">
        <w:rPr>
          <w:rFonts w:ascii="Times New Roman" w:hAnsi="Times New Roman" w:cs="Times New Roman"/>
        </w:rPr>
        <w:t>compensation</w:t>
      </w:r>
      <w:r w:rsidRPr="00560017">
        <w:rPr>
          <w:rFonts w:ascii="Times New Roman" w:hAnsi="Times New Roman" w:cs="Times New Roman"/>
        </w:rPr>
        <w:t xml:space="preserve"> ranges of current employees tie into the compensation range for new</w:t>
      </w:r>
      <w:r>
        <w:rPr>
          <w:rFonts w:ascii="Times New Roman" w:hAnsi="Times New Roman" w:cs="Times New Roman"/>
        </w:rPr>
        <w:t>ly</w:t>
      </w:r>
      <w:r w:rsidRPr="00560017">
        <w:rPr>
          <w:rFonts w:ascii="Times New Roman" w:hAnsi="Times New Roman" w:cs="Times New Roman"/>
        </w:rPr>
        <w:t xml:space="preserve"> advertised positions</w:t>
      </w:r>
      <w:r>
        <w:rPr>
          <w:rFonts w:ascii="Times New Roman" w:hAnsi="Times New Roman" w:cs="Times New Roman"/>
        </w:rPr>
        <w:t>;</w:t>
      </w:r>
      <w:r w:rsidRPr="00560017">
        <w:rPr>
          <w:rFonts w:ascii="Times New Roman" w:hAnsi="Times New Roman" w:cs="Times New Roman"/>
        </w:rPr>
        <w:t xml:space="preserve"> </w:t>
      </w:r>
    </w:p>
    <w:p w14:paraId="523FAA2C" w14:textId="48EC3B60" w:rsidR="009425C3" w:rsidRDefault="009425C3" w:rsidP="009425C3">
      <w:pPr>
        <w:pStyle w:val="ListParagraph"/>
        <w:numPr>
          <w:ilvl w:val="0"/>
          <w:numId w:val="31"/>
        </w:numPr>
        <w:jc w:val="both"/>
        <w:rPr>
          <w:rFonts w:ascii="Times New Roman" w:hAnsi="Times New Roman" w:cs="Times New Roman"/>
        </w:rPr>
      </w:pPr>
      <w:r w:rsidRPr="00560017">
        <w:rPr>
          <w:rFonts w:ascii="Times New Roman" w:hAnsi="Times New Roman" w:cs="Times New Roman"/>
        </w:rPr>
        <w:t>Evaluate and document</w:t>
      </w:r>
      <w:r w:rsidR="00FF5B61">
        <w:rPr>
          <w:rFonts w:ascii="Times New Roman" w:hAnsi="Times New Roman" w:cs="Times New Roman"/>
        </w:rPr>
        <w:t xml:space="preserve"> compensation</w:t>
      </w:r>
      <w:r w:rsidRPr="00560017">
        <w:rPr>
          <w:rFonts w:ascii="Times New Roman" w:hAnsi="Times New Roman" w:cs="Times New Roman"/>
        </w:rPr>
        <w:t xml:space="preserve"> ranges to prepare for possible complaints and investigations</w:t>
      </w:r>
      <w:r>
        <w:rPr>
          <w:rFonts w:ascii="Times New Roman" w:hAnsi="Times New Roman" w:cs="Times New Roman"/>
        </w:rPr>
        <w:t>;</w:t>
      </w:r>
    </w:p>
    <w:p w14:paraId="6F704581" w14:textId="77777777" w:rsidR="009425C3" w:rsidRDefault="009425C3" w:rsidP="009425C3">
      <w:pPr>
        <w:pStyle w:val="ListParagraph"/>
        <w:numPr>
          <w:ilvl w:val="0"/>
          <w:numId w:val="31"/>
        </w:numPr>
        <w:jc w:val="both"/>
        <w:rPr>
          <w:rFonts w:ascii="Times New Roman" w:hAnsi="Times New Roman" w:cs="Times New Roman"/>
        </w:rPr>
      </w:pPr>
      <w:r w:rsidRPr="00560017">
        <w:rPr>
          <w:rFonts w:ascii="Times New Roman" w:hAnsi="Times New Roman" w:cs="Times New Roman"/>
        </w:rPr>
        <w:t>Conduct a pay equity audit and address unlawful pay disparities</w:t>
      </w:r>
      <w:r>
        <w:rPr>
          <w:rFonts w:ascii="Times New Roman" w:hAnsi="Times New Roman" w:cs="Times New Roman"/>
        </w:rPr>
        <w:t>; and</w:t>
      </w:r>
    </w:p>
    <w:p w14:paraId="412758CE" w14:textId="77777777" w:rsidR="009425C3" w:rsidRDefault="009425C3" w:rsidP="009425C3">
      <w:pPr>
        <w:pStyle w:val="ListParagraph"/>
        <w:numPr>
          <w:ilvl w:val="0"/>
          <w:numId w:val="31"/>
        </w:numPr>
        <w:jc w:val="both"/>
        <w:rPr>
          <w:rFonts w:ascii="Times New Roman" w:hAnsi="Times New Roman" w:cs="Times New Roman"/>
        </w:rPr>
      </w:pPr>
      <w:r w:rsidRPr="00560017">
        <w:rPr>
          <w:rFonts w:ascii="Times New Roman" w:hAnsi="Times New Roman" w:cs="Times New Roman"/>
        </w:rPr>
        <w:t xml:space="preserve">Confirm that your third-party agencies </w:t>
      </w:r>
      <w:proofErr w:type="gramStart"/>
      <w:r w:rsidRPr="00560017">
        <w:rPr>
          <w:rFonts w:ascii="Times New Roman" w:hAnsi="Times New Roman" w:cs="Times New Roman"/>
        </w:rPr>
        <w:t>are in compliance</w:t>
      </w:r>
      <w:proofErr w:type="gramEnd"/>
      <w:r>
        <w:rPr>
          <w:rFonts w:ascii="Times New Roman" w:hAnsi="Times New Roman" w:cs="Times New Roman"/>
        </w:rPr>
        <w:t>,</w:t>
      </w:r>
      <w:r w:rsidRPr="00560017">
        <w:rPr>
          <w:rFonts w:ascii="Times New Roman" w:hAnsi="Times New Roman" w:cs="Times New Roman"/>
        </w:rPr>
        <w:t xml:space="preserve"> as well</w:t>
      </w:r>
      <w:r>
        <w:rPr>
          <w:rFonts w:ascii="Times New Roman" w:hAnsi="Times New Roman" w:cs="Times New Roman"/>
        </w:rPr>
        <w:t>.</w:t>
      </w:r>
    </w:p>
    <w:p w14:paraId="1D86A2E4" w14:textId="77777777" w:rsidR="009425C3" w:rsidRDefault="009425C3" w:rsidP="009425C3">
      <w:pPr>
        <w:jc w:val="both"/>
        <w:rPr>
          <w:rFonts w:ascii="Times New Roman" w:hAnsi="Times New Roman" w:cs="Times New Roman"/>
          <w:u w:val="single"/>
        </w:rPr>
      </w:pPr>
    </w:p>
    <w:p w14:paraId="5123C651" w14:textId="77777777" w:rsidR="009425C3" w:rsidRDefault="009425C3" w:rsidP="009425C3">
      <w:pPr>
        <w:jc w:val="both"/>
        <w:rPr>
          <w:rFonts w:ascii="Times New Roman" w:hAnsi="Times New Roman" w:cs="Times New Roman"/>
          <w:u w:val="single"/>
        </w:rPr>
      </w:pPr>
      <w:r>
        <w:rPr>
          <w:rFonts w:ascii="Times New Roman" w:hAnsi="Times New Roman" w:cs="Times New Roman"/>
          <w:u w:val="single"/>
        </w:rPr>
        <w:t>Colorado Publishes Employment Separation Form</w:t>
      </w:r>
    </w:p>
    <w:p w14:paraId="647BE1D2" w14:textId="77777777" w:rsidR="009425C3" w:rsidRDefault="009425C3" w:rsidP="009425C3">
      <w:pPr>
        <w:jc w:val="both"/>
        <w:rPr>
          <w:rFonts w:ascii="Times New Roman" w:hAnsi="Times New Roman" w:cs="Times New Roman"/>
        </w:rPr>
      </w:pPr>
    </w:p>
    <w:p w14:paraId="7F9331AB" w14:textId="77777777" w:rsidR="009425C3" w:rsidRDefault="009425C3" w:rsidP="009425C3">
      <w:pPr>
        <w:jc w:val="both"/>
        <w:rPr>
          <w:rFonts w:ascii="Times New Roman" w:hAnsi="Times New Roman" w:cs="Times New Roman"/>
        </w:rPr>
      </w:pPr>
      <w:r>
        <w:rPr>
          <w:rFonts w:ascii="Times New Roman" w:hAnsi="Times New Roman" w:cs="Times New Roman"/>
        </w:rPr>
        <w:t xml:space="preserve">Among the employment-related laws passed this year by the Colorado legislature, Senate Bill 22-234 expands the information that employers must provide to employee upon separation of employment. Employers must now provide a written notice that includes the following information: </w:t>
      </w:r>
    </w:p>
    <w:p w14:paraId="4CE55B0A" w14:textId="77777777" w:rsidR="009425C3" w:rsidRDefault="009425C3" w:rsidP="009425C3">
      <w:pPr>
        <w:jc w:val="both"/>
        <w:rPr>
          <w:rFonts w:ascii="Times New Roman" w:hAnsi="Times New Roman" w:cs="Times New Roman"/>
        </w:rPr>
      </w:pPr>
    </w:p>
    <w:p w14:paraId="15E27A75" w14:textId="77777777" w:rsidR="009425C3" w:rsidRDefault="009425C3" w:rsidP="009425C3">
      <w:pPr>
        <w:pStyle w:val="ListParagraph"/>
        <w:numPr>
          <w:ilvl w:val="0"/>
          <w:numId w:val="32"/>
        </w:numPr>
        <w:jc w:val="both"/>
        <w:rPr>
          <w:rFonts w:ascii="Times New Roman" w:hAnsi="Times New Roman" w:cs="Times New Roman"/>
        </w:rPr>
      </w:pPr>
      <w:r>
        <w:rPr>
          <w:rFonts w:ascii="Times New Roman" w:hAnsi="Times New Roman" w:cs="Times New Roman"/>
        </w:rPr>
        <w:t>T</w:t>
      </w:r>
      <w:r w:rsidRPr="00560017">
        <w:rPr>
          <w:rFonts w:ascii="Times New Roman" w:hAnsi="Times New Roman" w:cs="Times New Roman"/>
        </w:rPr>
        <w:t xml:space="preserve">he </w:t>
      </w:r>
      <w:r>
        <w:rPr>
          <w:rFonts w:ascii="Times New Roman" w:hAnsi="Times New Roman" w:cs="Times New Roman"/>
        </w:rPr>
        <w:t>employer’s name and address;</w:t>
      </w:r>
    </w:p>
    <w:p w14:paraId="2C809C98" w14:textId="77777777" w:rsidR="009425C3" w:rsidRDefault="009425C3" w:rsidP="009425C3">
      <w:pPr>
        <w:pStyle w:val="ListParagraph"/>
        <w:numPr>
          <w:ilvl w:val="0"/>
          <w:numId w:val="32"/>
        </w:numPr>
        <w:jc w:val="both"/>
        <w:rPr>
          <w:rFonts w:ascii="Times New Roman" w:hAnsi="Times New Roman" w:cs="Times New Roman"/>
        </w:rPr>
      </w:pPr>
      <w:r>
        <w:rPr>
          <w:rFonts w:ascii="Times New Roman" w:hAnsi="Times New Roman" w:cs="Times New Roman"/>
        </w:rPr>
        <w:t>The employee’s:</w:t>
      </w:r>
    </w:p>
    <w:p w14:paraId="5D042EA3" w14:textId="77777777" w:rsidR="009425C3" w:rsidRDefault="009425C3" w:rsidP="009425C3">
      <w:pPr>
        <w:pStyle w:val="ListParagraph"/>
        <w:numPr>
          <w:ilvl w:val="1"/>
          <w:numId w:val="32"/>
        </w:numPr>
        <w:jc w:val="both"/>
        <w:rPr>
          <w:rFonts w:ascii="Times New Roman" w:hAnsi="Times New Roman" w:cs="Times New Roman"/>
        </w:rPr>
      </w:pPr>
      <w:r>
        <w:rPr>
          <w:rFonts w:ascii="Times New Roman" w:hAnsi="Times New Roman" w:cs="Times New Roman"/>
        </w:rPr>
        <w:t>Name and address;</w:t>
      </w:r>
    </w:p>
    <w:p w14:paraId="047DFEA2" w14:textId="77777777" w:rsidR="009425C3" w:rsidRDefault="009425C3" w:rsidP="009425C3">
      <w:pPr>
        <w:pStyle w:val="ListParagraph"/>
        <w:numPr>
          <w:ilvl w:val="1"/>
          <w:numId w:val="32"/>
        </w:numPr>
        <w:jc w:val="both"/>
        <w:rPr>
          <w:rFonts w:ascii="Times New Roman" w:hAnsi="Times New Roman" w:cs="Times New Roman"/>
        </w:rPr>
      </w:pPr>
      <w:r>
        <w:rPr>
          <w:rFonts w:ascii="Times New Roman" w:hAnsi="Times New Roman" w:cs="Times New Roman"/>
        </w:rPr>
        <w:t>Employee ID or last four digits of their SSN;</w:t>
      </w:r>
    </w:p>
    <w:p w14:paraId="709E310A" w14:textId="77777777" w:rsidR="009425C3" w:rsidRDefault="009425C3" w:rsidP="009425C3">
      <w:pPr>
        <w:pStyle w:val="ListParagraph"/>
        <w:numPr>
          <w:ilvl w:val="1"/>
          <w:numId w:val="32"/>
        </w:numPr>
        <w:jc w:val="both"/>
        <w:rPr>
          <w:rFonts w:ascii="Times New Roman" w:hAnsi="Times New Roman" w:cs="Times New Roman"/>
        </w:rPr>
      </w:pPr>
      <w:r>
        <w:rPr>
          <w:rFonts w:ascii="Times New Roman" w:hAnsi="Times New Roman" w:cs="Times New Roman"/>
        </w:rPr>
        <w:t>F</w:t>
      </w:r>
      <w:r w:rsidRPr="00560017">
        <w:rPr>
          <w:rFonts w:ascii="Times New Roman" w:hAnsi="Times New Roman" w:cs="Times New Roman"/>
        </w:rPr>
        <w:t>irst and last date worked</w:t>
      </w:r>
      <w:r>
        <w:rPr>
          <w:rFonts w:ascii="Times New Roman" w:hAnsi="Times New Roman" w:cs="Times New Roman"/>
        </w:rPr>
        <w:t>;</w:t>
      </w:r>
      <w:r w:rsidRPr="00560017">
        <w:rPr>
          <w:rFonts w:ascii="Times New Roman" w:hAnsi="Times New Roman" w:cs="Times New Roman"/>
        </w:rPr>
        <w:t xml:space="preserve"> </w:t>
      </w:r>
    </w:p>
    <w:p w14:paraId="7FCC4291" w14:textId="77777777" w:rsidR="009425C3" w:rsidRDefault="009425C3" w:rsidP="009425C3">
      <w:pPr>
        <w:pStyle w:val="ListParagraph"/>
        <w:numPr>
          <w:ilvl w:val="1"/>
          <w:numId w:val="32"/>
        </w:numPr>
        <w:jc w:val="both"/>
        <w:rPr>
          <w:rFonts w:ascii="Times New Roman" w:hAnsi="Times New Roman" w:cs="Times New Roman"/>
        </w:rPr>
      </w:pPr>
      <w:r>
        <w:rPr>
          <w:rFonts w:ascii="Times New Roman" w:hAnsi="Times New Roman" w:cs="Times New Roman"/>
        </w:rPr>
        <w:t>Y</w:t>
      </w:r>
      <w:r w:rsidRPr="00560017">
        <w:rPr>
          <w:rFonts w:ascii="Times New Roman" w:hAnsi="Times New Roman" w:cs="Times New Roman"/>
        </w:rPr>
        <w:t>ear-to-date earnings</w:t>
      </w:r>
      <w:r>
        <w:rPr>
          <w:rFonts w:ascii="Times New Roman" w:hAnsi="Times New Roman" w:cs="Times New Roman"/>
        </w:rPr>
        <w:t>;</w:t>
      </w:r>
      <w:r w:rsidRPr="00560017">
        <w:rPr>
          <w:rFonts w:ascii="Times New Roman" w:hAnsi="Times New Roman" w:cs="Times New Roman"/>
        </w:rPr>
        <w:t xml:space="preserve"> </w:t>
      </w:r>
    </w:p>
    <w:p w14:paraId="5A22B148" w14:textId="77777777" w:rsidR="009425C3" w:rsidRDefault="009425C3" w:rsidP="009425C3">
      <w:pPr>
        <w:pStyle w:val="ListParagraph"/>
        <w:numPr>
          <w:ilvl w:val="1"/>
          <w:numId w:val="32"/>
        </w:numPr>
        <w:jc w:val="both"/>
        <w:rPr>
          <w:rFonts w:ascii="Times New Roman" w:hAnsi="Times New Roman" w:cs="Times New Roman"/>
        </w:rPr>
      </w:pPr>
      <w:r>
        <w:rPr>
          <w:rFonts w:ascii="Times New Roman" w:hAnsi="Times New Roman" w:cs="Times New Roman"/>
        </w:rPr>
        <w:t>W</w:t>
      </w:r>
      <w:r w:rsidRPr="00560017">
        <w:rPr>
          <w:rFonts w:ascii="Times New Roman" w:hAnsi="Times New Roman" w:cs="Times New Roman"/>
        </w:rPr>
        <w:t xml:space="preserve">ages for the last week worked, and </w:t>
      </w:r>
    </w:p>
    <w:p w14:paraId="7FF7F3B0" w14:textId="77777777" w:rsidR="009425C3" w:rsidRDefault="009425C3" w:rsidP="009425C3">
      <w:pPr>
        <w:pStyle w:val="ListParagraph"/>
        <w:numPr>
          <w:ilvl w:val="1"/>
          <w:numId w:val="32"/>
        </w:numPr>
        <w:jc w:val="both"/>
        <w:rPr>
          <w:rFonts w:ascii="Times New Roman" w:hAnsi="Times New Roman" w:cs="Times New Roman"/>
        </w:rPr>
      </w:pPr>
      <w:r>
        <w:rPr>
          <w:rFonts w:ascii="Times New Roman" w:hAnsi="Times New Roman" w:cs="Times New Roman"/>
        </w:rPr>
        <w:t>T</w:t>
      </w:r>
      <w:r w:rsidRPr="00560017">
        <w:rPr>
          <w:rFonts w:ascii="Times New Roman" w:hAnsi="Times New Roman" w:cs="Times New Roman"/>
        </w:rPr>
        <w:t xml:space="preserve">he reason for the separation. </w:t>
      </w:r>
    </w:p>
    <w:p w14:paraId="664CB3A7" w14:textId="77777777" w:rsidR="009425C3" w:rsidRDefault="009425C3" w:rsidP="009425C3">
      <w:pPr>
        <w:jc w:val="both"/>
        <w:rPr>
          <w:rFonts w:ascii="Times New Roman" w:hAnsi="Times New Roman" w:cs="Times New Roman"/>
        </w:rPr>
      </w:pPr>
    </w:p>
    <w:p w14:paraId="2794EC4E" w14:textId="77777777" w:rsidR="009425C3" w:rsidRDefault="009425C3" w:rsidP="009425C3">
      <w:pPr>
        <w:jc w:val="both"/>
        <w:rPr>
          <w:rFonts w:ascii="Times New Roman" w:hAnsi="Times New Roman" w:cs="Times New Roman"/>
        </w:rPr>
      </w:pPr>
      <w:r>
        <w:rPr>
          <w:rFonts w:ascii="Times New Roman" w:hAnsi="Times New Roman" w:cs="Times New Roman"/>
        </w:rPr>
        <w:t xml:space="preserve">Although the written notice requirement seems relatively straightforward, employers must be careful when documenting the reason for separation, and make sure that their reasoning is consistent. </w:t>
      </w:r>
      <w:r w:rsidRPr="00994EAC">
        <w:rPr>
          <w:rFonts w:ascii="Times New Roman" w:hAnsi="Times New Roman" w:cs="Times New Roman"/>
        </w:rPr>
        <w:t xml:space="preserve">If a terminated employee later sues for wrongful discharge, discrimination, or retaliation, the company typically must justify its decision with legitimate, non-discriminatory and non-retaliatory reasons for the discharge. </w:t>
      </w:r>
      <w:r>
        <w:rPr>
          <w:rFonts w:ascii="Times New Roman" w:hAnsi="Times New Roman" w:cs="Times New Roman"/>
        </w:rPr>
        <w:t xml:space="preserve">However, </w:t>
      </w:r>
      <w:r w:rsidRPr="00994EAC">
        <w:rPr>
          <w:rFonts w:ascii="Times New Roman" w:hAnsi="Times New Roman" w:cs="Times New Roman"/>
        </w:rPr>
        <w:t>if those reasons differ or change over time, that can hurt the company’s defense, as courts and juries sometimes construe changing explanations as a “pretext”, or cover-up, for unlawful motivations.</w:t>
      </w:r>
    </w:p>
    <w:p w14:paraId="173A2FA0" w14:textId="77777777" w:rsidR="009425C3" w:rsidRDefault="009425C3" w:rsidP="009425C3">
      <w:pPr>
        <w:jc w:val="both"/>
        <w:rPr>
          <w:rFonts w:ascii="Times New Roman" w:hAnsi="Times New Roman" w:cs="Times New Roman"/>
        </w:rPr>
      </w:pPr>
    </w:p>
    <w:p w14:paraId="3F56633E" w14:textId="285BB288" w:rsidR="009E26C2" w:rsidRDefault="009425C3" w:rsidP="009425C3">
      <w:pPr>
        <w:jc w:val="both"/>
        <w:rPr>
          <w:rFonts w:ascii="Times New Roman" w:hAnsi="Times New Roman" w:cs="Times New Roman"/>
        </w:rPr>
      </w:pPr>
      <w:r>
        <w:rPr>
          <w:rFonts w:ascii="Times New Roman" w:hAnsi="Times New Roman" w:cs="Times New Roman"/>
        </w:rPr>
        <w:t>Employers will want to ensure they train those who are filling out the form to ensure they understand the significance of the information conveyed. Additionally, s</w:t>
      </w:r>
      <w:r w:rsidRPr="00994EAC">
        <w:rPr>
          <w:rFonts w:ascii="Times New Roman" w:hAnsi="Times New Roman" w:cs="Times New Roman"/>
        </w:rPr>
        <w:t>ince the form requests that responses to be limited to one sentence</w:t>
      </w:r>
      <w:r>
        <w:rPr>
          <w:rFonts w:ascii="Times New Roman" w:hAnsi="Times New Roman" w:cs="Times New Roman"/>
        </w:rPr>
        <w:t>,</w:t>
      </w:r>
      <w:r w:rsidRPr="00994EAC">
        <w:rPr>
          <w:rFonts w:ascii="Times New Roman" w:hAnsi="Times New Roman" w:cs="Times New Roman"/>
        </w:rPr>
        <w:t xml:space="preserve"> </w:t>
      </w:r>
      <w:r>
        <w:rPr>
          <w:rFonts w:ascii="Times New Roman" w:hAnsi="Times New Roman" w:cs="Times New Roman"/>
        </w:rPr>
        <w:t xml:space="preserve">employers should be concise and accurate when providing the reason for separation (such as attendance issues, poor performance, unprofessional behavior, etc.). </w:t>
      </w:r>
    </w:p>
    <w:p w14:paraId="60DCD38F" w14:textId="12AD1215" w:rsidR="004E19BA" w:rsidRDefault="004E19BA" w:rsidP="009425C3">
      <w:pPr>
        <w:jc w:val="both"/>
        <w:rPr>
          <w:rFonts w:ascii="Times New Roman" w:hAnsi="Times New Roman" w:cs="Times New Roman"/>
        </w:rPr>
      </w:pPr>
    </w:p>
    <w:p w14:paraId="149B7025" w14:textId="77777777" w:rsidR="004E19BA" w:rsidRDefault="004E19BA" w:rsidP="009425C3">
      <w:pPr>
        <w:jc w:val="both"/>
        <w:rPr>
          <w:rFonts w:ascii="Times New Roman" w:hAnsi="Times New Roman" w:cs="Times New Roman"/>
        </w:rPr>
      </w:pPr>
    </w:p>
    <w:p w14:paraId="63807572" w14:textId="77777777" w:rsidR="009425C3" w:rsidRDefault="009425C3" w:rsidP="009425C3">
      <w:pPr>
        <w:jc w:val="both"/>
        <w:rPr>
          <w:rFonts w:ascii="Times New Roman" w:hAnsi="Times New Roman" w:cs="Times New Roman"/>
          <w:u w:val="single"/>
        </w:rPr>
      </w:pPr>
      <w:r>
        <w:rPr>
          <w:rFonts w:ascii="Times New Roman" w:hAnsi="Times New Roman" w:cs="Times New Roman"/>
          <w:u w:val="single"/>
        </w:rPr>
        <w:lastRenderedPageBreak/>
        <w:t>California Enacts a Plethora of Employment-Related Laws</w:t>
      </w:r>
    </w:p>
    <w:p w14:paraId="52267A5E" w14:textId="77777777" w:rsidR="009425C3" w:rsidRDefault="009425C3" w:rsidP="009425C3">
      <w:pPr>
        <w:jc w:val="both"/>
        <w:rPr>
          <w:rFonts w:ascii="Times New Roman" w:hAnsi="Times New Roman" w:cs="Times New Roman"/>
        </w:rPr>
      </w:pPr>
    </w:p>
    <w:p w14:paraId="29314DD4" w14:textId="7A6D80BD" w:rsidR="009425C3" w:rsidRDefault="009425C3" w:rsidP="009425C3">
      <w:pPr>
        <w:jc w:val="both"/>
        <w:rPr>
          <w:rFonts w:ascii="Times New Roman" w:hAnsi="Times New Roman" w:cs="Times New Roman"/>
        </w:rPr>
      </w:pPr>
      <w:r>
        <w:rPr>
          <w:rFonts w:ascii="Times New Roman" w:hAnsi="Times New Roman" w:cs="Times New Roman"/>
        </w:rPr>
        <w:t xml:space="preserve">As the California legislature wrapped up its 2022 session, </w:t>
      </w:r>
      <w:r w:rsidR="00251A88">
        <w:rPr>
          <w:rFonts w:ascii="Times New Roman" w:hAnsi="Times New Roman" w:cs="Times New Roman"/>
        </w:rPr>
        <w:t>several</w:t>
      </w:r>
      <w:r>
        <w:rPr>
          <w:rFonts w:ascii="Times New Roman" w:hAnsi="Times New Roman" w:cs="Times New Roman"/>
        </w:rPr>
        <w:t xml:space="preserve"> employment-related laws were signed by Governor Newsom. These new laws, most of which go into effect January 1, 2023, are expected to significantly impact employers operating in California. Some of the new laws include:</w:t>
      </w:r>
    </w:p>
    <w:p w14:paraId="63838426" w14:textId="77777777" w:rsidR="009425C3" w:rsidRDefault="009425C3" w:rsidP="009425C3">
      <w:pPr>
        <w:jc w:val="both"/>
        <w:rPr>
          <w:rFonts w:ascii="Times New Roman" w:hAnsi="Times New Roman" w:cs="Times New Roman"/>
        </w:rPr>
      </w:pPr>
    </w:p>
    <w:p w14:paraId="4771803E" w14:textId="77777777" w:rsidR="009425C3" w:rsidRDefault="009425C3" w:rsidP="009425C3">
      <w:pPr>
        <w:pStyle w:val="ListParagraph"/>
        <w:numPr>
          <w:ilvl w:val="0"/>
          <w:numId w:val="33"/>
        </w:numPr>
        <w:jc w:val="both"/>
        <w:rPr>
          <w:rFonts w:ascii="Times New Roman" w:hAnsi="Times New Roman" w:cs="Times New Roman"/>
        </w:rPr>
      </w:pPr>
      <w:r w:rsidRPr="0076036A">
        <w:rPr>
          <w:rFonts w:ascii="Times New Roman" w:hAnsi="Times New Roman" w:cs="Times New Roman"/>
          <w:i/>
          <w:iCs/>
        </w:rPr>
        <w:t>Expansion of Covered Family Members Under the California Family Rights Act (“CFRA”) and Paid Sick Leave law</w:t>
      </w:r>
      <w:r>
        <w:rPr>
          <w:rFonts w:ascii="Times New Roman" w:hAnsi="Times New Roman" w:cs="Times New Roman"/>
        </w:rPr>
        <w:t xml:space="preserve">: Both the CFRA and California’s Paid Sick Leave law will permit employees to take leave to care for a “designated person.” </w:t>
      </w:r>
      <w:r w:rsidRPr="0076036A">
        <w:rPr>
          <w:rFonts w:ascii="Times New Roman" w:hAnsi="Times New Roman" w:cs="Times New Roman"/>
        </w:rPr>
        <w:t>The CFRA defines “designated person” as “any individual related by blood or whose association with the employee is the equivalent of a family relationship.” While employees do not have to identify their “designated person” until they request leave, companies are allowed to limit workers to one designated person per 12-month period.</w:t>
      </w:r>
      <w:r>
        <w:rPr>
          <w:rFonts w:ascii="Times New Roman" w:hAnsi="Times New Roman" w:cs="Times New Roman"/>
        </w:rPr>
        <w:t xml:space="preserve"> These updates go into effect January 1, 2023.</w:t>
      </w:r>
    </w:p>
    <w:p w14:paraId="6851AD94" w14:textId="77777777" w:rsidR="009425C3" w:rsidRDefault="009425C3" w:rsidP="009425C3">
      <w:pPr>
        <w:pStyle w:val="ListParagraph"/>
        <w:jc w:val="both"/>
        <w:rPr>
          <w:rFonts w:ascii="Times New Roman" w:hAnsi="Times New Roman" w:cs="Times New Roman"/>
        </w:rPr>
      </w:pPr>
    </w:p>
    <w:p w14:paraId="207CE58D" w14:textId="77777777" w:rsidR="009425C3" w:rsidRDefault="009425C3" w:rsidP="009425C3">
      <w:pPr>
        <w:pStyle w:val="ListParagraph"/>
        <w:numPr>
          <w:ilvl w:val="0"/>
          <w:numId w:val="33"/>
        </w:numPr>
        <w:jc w:val="both"/>
        <w:rPr>
          <w:rFonts w:ascii="Times New Roman" w:hAnsi="Times New Roman" w:cs="Times New Roman"/>
        </w:rPr>
      </w:pPr>
      <w:r>
        <w:rPr>
          <w:rFonts w:ascii="Times New Roman" w:hAnsi="Times New Roman" w:cs="Times New Roman"/>
          <w:i/>
          <w:iCs/>
        </w:rPr>
        <w:t>New Bereavement Leave law</w:t>
      </w:r>
      <w:r>
        <w:rPr>
          <w:rFonts w:ascii="Times New Roman" w:hAnsi="Times New Roman" w:cs="Times New Roman"/>
        </w:rPr>
        <w:t xml:space="preserve">: Beginning January 1, 2023, employees who have worked for at least 30 days before commencing leave will be able to take up to five days of unpaid job-protected bereavement leave in the event of a death of a close family member, which is narrowly defined as only including </w:t>
      </w:r>
      <w:r w:rsidRPr="0076036A">
        <w:rPr>
          <w:rFonts w:ascii="Times New Roman" w:hAnsi="Times New Roman" w:cs="Times New Roman"/>
        </w:rPr>
        <w:t>spouses, children, parents, siblings, grandparents, grandchildren, domestic partners, and parents-in-law</w:t>
      </w:r>
      <w:r>
        <w:rPr>
          <w:rFonts w:ascii="Times New Roman" w:hAnsi="Times New Roman" w:cs="Times New Roman"/>
        </w:rPr>
        <w:t xml:space="preserve">. </w:t>
      </w:r>
      <w:r w:rsidRPr="0076036A">
        <w:rPr>
          <w:rFonts w:ascii="Times New Roman" w:hAnsi="Times New Roman" w:cs="Times New Roman"/>
        </w:rPr>
        <w:t xml:space="preserve">Employees do not have to take all five days of bereavement consecutively, though they must take all five of the days within three months of their family member’s death. </w:t>
      </w:r>
    </w:p>
    <w:p w14:paraId="727F2371" w14:textId="77777777" w:rsidR="009425C3" w:rsidRPr="00AE53EF" w:rsidRDefault="009425C3" w:rsidP="009425C3">
      <w:pPr>
        <w:pStyle w:val="ListParagraph"/>
        <w:rPr>
          <w:rFonts w:ascii="Times New Roman" w:hAnsi="Times New Roman" w:cs="Times New Roman"/>
        </w:rPr>
      </w:pPr>
    </w:p>
    <w:p w14:paraId="127FA25C" w14:textId="330B6D0E" w:rsidR="009425C3" w:rsidRDefault="009425C3" w:rsidP="009425C3">
      <w:pPr>
        <w:pStyle w:val="ListParagraph"/>
        <w:numPr>
          <w:ilvl w:val="0"/>
          <w:numId w:val="33"/>
        </w:numPr>
        <w:jc w:val="both"/>
        <w:rPr>
          <w:rFonts w:ascii="Times New Roman" w:hAnsi="Times New Roman" w:cs="Times New Roman"/>
        </w:rPr>
      </w:pPr>
      <w:r w:rsidRPr="00845328">
        <w:rPr>
          <w:rFonts w:ascii="Times New Roman" w:hAnsi="Times New Roman" w:cs="Times New Roman"/>
          <w:i/>
          <w:iCs/>
        </w:rPr>
        <w:t>Expanded Privacy Protections Take Effect January 1</w:t>
      </w:r>
      <w:r w:rsidRPr="00845328">
        <w:rPr>
          <w:rFonts w:ascii="Times New Roman" w:hAnsi="Times New Roman" w:cs="Times New Roman"/>
        </w:rPr>
        <w:t xml:space="preserve">: Beginning January </w:t>
      </w:r>
      <w:r w:rsidR="00AC6191">
        <w:rPr>
          <w:rFonts w:ascii="Times New Roman" w:hAnsi="Times New Roman" w:cs="Times New Roman"/>
        </w:rPr>
        <w:t>1</w:t>
      </w:r>
      <w:r w:rsidRPr="00845328">
        <w:rPr>
          <w:rFonts w:ascii="Times New Roman" w:hAnsi="Times New Roman" w:cs="Times New Roman"/>
        </w:rPr>
        <w:t xml:space="preserve">, 2023, covered employers are required to be in full compliance with the California Privacy Rights and Enforcement Act (CPRA). While the existing California Consumer Privacy Act required certain businesses to abide by notice requirements, the CPRA will require employers to revise their notice to also disclose: (a) whether the employer sells or shares personal information; (b) whether the employer collects, processes, or discloses “sensitive personal information,” which is a new category of information created by the CPRA; and (c) the length of time the employer intends to retain each category of personal information, or, if that would not be feasible, the criteria it will use to determine that retention period. There are a myriad of other requirements and employers should partner with legal counsel to ensure compliance. </w:t>
      </w:r>
    </w:p>
    <w:p w14:paraId="626742D5" w14:textId="77777777" w:rsidR="009425C3" w:rsidRPr="009425C3" w:rsidRDefault="009425C3" w:rsidP="009425C3">
      <w:pPr>
        <w:jc w:val="both"/>
        <w:rPr>
          <w:rFonts w:ascii="Times New Roman" w:hAnsi="Times New Roman" w:cs="Times New Roman"/>
        </w:rPr>
      </w:pPr>
    </w:p>
    <w:p w14:paraId="45846416" w14:textId="52D9F6B9" w:rsidR="009425C3" w:rsidRDefault="009425C3" w:rsidP="009425C3">
      <w:pPr>
        <w:pStyle w:val="ListParagraph"/>
        <w:numPr>
          <w:ilvl w:val="0"/>
          <w:numId w:val="33"/>
        </w:numPr>
        <w:jc w:val="both"/>
        <w:rPr>
          <w:rFonts w:ascii="Times New Roman" w:hAnsi="Times New Roman" w:cs="Times New Roman"/>
        </w:rPr>
      </w:pPr>
      <w:r>
        <w:rPr>
          <w:rFonts w:ascii="Times New Roman" w:hAnsi="Times New Roman" w:cs="Times New Roman"/>
          <w:i/>
          <w:iCs/>
        </w:rPr>
        <w:t>Off-Duty Use of Cannabis is a Protected Class Beginning 2024</w:t>
      </w:r>
      <w:r>
        <w:rPr>
          <w:rFonts w:ascii="Times New Roman" w:hAnsi="Times New Roman" w:cs="Times New Roman"/>
        </w:rPr>
        <w:t xml:space="preserve">: Starting in 2024, California’s Fair Employment and Housing Act will make it unlawful for an employment to discriminate against a person in hiring, termination, or any other term or condition of employment because of a </w:t>
      </w:r>
      <w:proofErr w:type="gramStart"/>
      <w:r>
        <w:rPr>
          <w:rFonts w:ascii="Times New Roman" w:hAnsi="Times New Roman" w:cs="Times New Roman"/>
        </w:rPr>
        <w:t>person’s</w:t>
      </w:r>
      <w:proofErr w:type="gramEnd"/>
      <w:r>
        <w:rPr>
          <w:rFonts w:ascii="Times New Roman" w:hAnsi="Times New Roman" w:cs="Times New Roman"/>
        </w:rPr>
        <w:t xml:space="preserve"> off duty use of cannabis. There are a significant number of carve-outs to this law and employers will want to ensure their policies </w:t>
      </w:r>
      <w:r w:rsidR="00251A88">
        <w:rPr>
          <w:rFonts w:ascii="Times New Roman" w:hAnsi="Times New Roman" w:cs="Times New Roman"/>
        </w:rPr>
        <w:t>comply</w:t>
      </w:r>
      <w:r>
        <w:rPr>
          <w:rFonts w:ascii="Times New Roman" w:hAnsi="Times New Roman" w:cs="Times New Roman"/>
        </w:rPr>
        <w:t xml:space="preserve"> this new law. </w:t>
      </w:r>
    </w:p>
    <w:p w14:paraId="6DB5F685" w14:textId="77777777" w:rsidR="00251A88" w:rsidRDefault="00251A88" w:rsidP="009425C3">
      <w:pPr>
        <w:jc w:val="both"/>
        <w:rPr>
          <w:rFonts w:ascii="Times New Roman" w:hAnsi="Times New Roman" w:cs="Times New Roman"/>
          <w:u w:val="single"/>
        </w:rPr>
      </w:pPr>
    </w:p>
    <w:p w14:paraId="41AFC1C8" w14:textId="6BF694C3" w:rsidR="009425C3" w:rsidRDefault="009425C3" w:rsidP="009425C3">
      <w:pPr>
        <w:jc w:val="both"/>
        <w:rPr>
          <w:rFonts w:ascii="Times New Roman" w:hAnsi="Times New Roman" w:cs="Times New Roman"/>
        </w:rPr>
      </w:pPr>
      <w:r>
        <w:rPr>
          <w:rFonts w:ascii="Times New Roman" w:hAnsi="Times New Roman" w:cs="Times New Roman"/>
          <w:u w:val="single"/>
        </w:rPr>
        <w:t>Bloomington (MN) Sick and Safe Leave to Begin July 1, 2023</w:t>
      </w:r>
    </w:p>
    <w:p w14:paraId="0EA9F26C" w14:textId="77777777" w:rsidR="009425C3" w:rsidRDefault="009425C3" w:rsidP="009425C3">
      <w:pPr>
        <w:jc w:val="both"/>
        <w:rPr>
          <w:rFonts w:ascii="Times New Roman" w:hAnsi="Times New Roman" w:cs="Times New Roman"/>
        </w:rPr>
      </w:pPr>
    </w:p>
    <w:p w14:paraId="28C5C7C4" w14:textId="77777777" w:rsidR="009425C3" w:rsidRDefault="009425C3" w:rsidP="009425C3">
      <w:pPr>
        <w:jc w:val="both"/>
        <w:rPr>
          <w:rFonts w:ascii="Times New Roman" w:hAnsi="Times New Roman" w:cs="Times New Roman"/>
        </w:rPr>
      </w:pPr>
      <w:r>
        <w:rPr>
          <w:rFonts w:ascii="Times New Roman" w:hAnsi="Times New Roman" w:cs="Times New Roman"/>
        </w:rPr>
        <w:t xml:space="preserve">Although it does not take effect until July 1, 2023, employers with employees in Bloomington should begin preparing for the city’s new ordinance, which mandates the providing of sick and safe leave to employees who work in the city for at least 80 hours in a year. Bloomington’s Sick </w:t>
      </w:r>
      <w:r>
        <w:rPr>
          <w:rFonts w:ascii="Times New Roman" w:hAnsi="Times New Roman" w:cs="Times New Roman"/>
        </w:rPr>
        <w:lastRenderedPageBreak/>
        <w:t xml:space="preserve">and Safe Leave provisions mirror many of the same requirements as Minneapolis’ Sick and Safe Time Ordinance, including accrual rates, maximum accrual amounts, and carryover requirements. Both ordinances also closely resemble one another with respect to the permissible reasons for which an employee can take leave. </w:t>
      </w:r>
    </w:p>
    <w:p w14:paraId="468D7C53" w14:textId="77777777" w:rsidR="009425C3" w:rsidRDefault="009425C3" w:rsidP="009425C3">
      <w:pPr>
        <w:jc w:val="both"/>
        <w:rPr>
          <w:rFonts w:ascii="Times New Roman" w:hAnsi="Times New Roman" w:cs="Times New Roman"/>
        </w:rPr>
      </w:pPr>
    </w:p>
    <w:p w14:paraId="4B7622EE" w14:textId="3EE04642" w:rsidR="009425C3" w:rsidRDefault="009425C3" w:rsidP="009425C3">
      <w:pPr>
        <w:jc w:val="both"/>
        <w:rPr>
          <w:rFonts w:ascii="Times New Roman" w:hAnsi="Times New Roman" w:cs="Times New Roman"/>
        </w:rPr>
      </w:pPr>
      <w:r>
        <w:rPr>
          <w:rFonts w:ascii="Times New Roman" w:hAnsi="Times New Roman" w:cs="Times New Roman"/>
        </w:rPr>
        <w:t xml:space="preserve">While the Bloomington Sick and Safe Leave Ordinance requires that employees be paid sick and safe leave at their “regular rate of pay,” employers will be pleased to learn that this term </w:t>
      </w:r>
      <w:r w:rsidRPr="00786966">
        <w:rPr>
          <w:rFonts w:ascii="Times New Roman" w:hAnsi="Times New Roman" w:cs="Times New Roman"/>
        </w:rPr>
        <w:t>means the employee's hourly rate</w:t>
      </w:r>
      <w:r>
        <w:rPr>
          <w:rFonts w:ascii="Times New Roman" w:hAnsi="Times New Roman" w:cs="Times New Roman"/>
        </w:rPr>
        <w:t>,</w:t>
      </w:r>
      <w:r w:rsidRPr="00786966">
        <w:rPr>
          <w:rFonts w:ascii="Times New Roman" w:hAnsi="Times New Roman" w:cs="Times New Roman"/>
        </w:rPr>
        <w:t xml:space="preserve"> including payments for shift differentials</w:t>
      </w:r>
      <w:r>
        <w:rPr>
          <w:rFonts w:ascii="Times New Roman" w:hAnsi="Times New Roman" w:cs="Times New Roman"/>
        </w:rPr>
        <w:t xml:space="preserve"> (</w:t>
      </w:r>
      <w:r w:rsidRPr="00786966">
        <w:rPr>
          <w:rFonts w:ascii="Times New Roman" w:hAnsi="Times New Roman" w:cs="Times New Roman"/>
        </w:rPr>
        <w:t>for an hourly employee</w:t>
      </w:r>
      <w:r>
        <w:rPr>
          <w:rFonts w:ascii="Times New Roman" w:hAnsi="Times New Roman" w:cs="Times New Roman"/>
        </w:rPr>
        <w:t>)</w:t>
      </w:r>
      <w:r w:rsidRPr="00786966">
        <w:rPr>
          <w:rFonts w:ascii="Times New Roman" w:hAnsi="Times New Roman" w:cs="Times New Roman"/>
        </w:rPr>
        <w:t xml:space="preserve"> or an equivalent rate for an exempt employee</w:t>
      </w:r>
      <w:r>
        <w:rPr>
          <w:rFonts w:ascii="Times New Roman" w:hAnsi="Times New Roman" w:cs="Times New Roman"/>
        </w:rPr>
        <w:t xml:space="preserve">, and does not include tips, commissions, and bonuses, among other types of additional payments. It does not have the same definition as used in the federal Fair Labor Standards Act. Employers should work with counsel to ensure that their time off policies (such as PTO or paid sick leave policy) are reviewed to ensure compliance with the new law, and that they are prepared for implementation come July 1. </w:t>
      </w:r>
    </w:p>
    <w:p w14:paraId="0818BC93" w14:textId="380718C9" w:rsidR="00090E24" w:rsidRDefault="00090E24" w:rsidP="009425C3">
      <w:pPr>
        <w:jc w:val="both"/>
        <w:rPr>
          <w:rFonts w:ascii="Times New Roman" w:hAnsi="Times New Roman" w:cs="Times New Roman"/>
        </w:rPr>
      </w:pPr>
    </w:p>
    <w:p w14:paraId="7E08EC66" w14:textId="1E03E388" w:rsidR="00090E24" w:rsidRPr="009425C3" w:rsidRDefault="00090E24" w:rsidP="00090E24">
      <w:pPr>
        <w:jc w:val="center"/>
        <w:rPr>
          <w:rFonts w:ascii="Times New Roman" w:hAnsi="Times New Roman" w:cs="Times New Roman"/>
          <w:color w:val="0070C0"/>
        </w:rPr>
      </w:pPr>
      <w:r>
        <w:rPr>
          <w:rFonts w:ascii="Times New Roman" w:hAnsi="Times New Roman" w:cs="Times New Roman"/>
          <w:b/>
          <w:bCs/>
          <w:color w:val="0070C0"/>
        </w:rPr>
        <w:t>Congress Passes Pr</w:t>
      </w:r>
      <w:r w:rsidR="00AC1554">
        <w:rPr>
          <w:rFonts w:ascii="Times New Roman" w:hAnsi="Times New Roman" w:cs="Times New Roman"/>
          <w:b/>
          <w:bCs/>
          <w:color w:val="0070C0"/>
        </w:rPr>
        <w:t>otections for Pr</w:t>
      </w:r>
      <w:r>
        <w:rPr>
          <w:rFonts w:ascii="Times New Roman" w:hAnsi="Times New Roman" w:cs="Times New Roman"/>
          <w:b/>
          <w:bCs/>
          <w:color w:val="0070C0"/>
        </w:rPr>
        <w:t>egnan</w:t>
      </w:r>
      <w:r w:rsidR="007D7167">
        <w:rPr>
          <w:rFonts w:ascii="Times New Roman" w:hAnsi="Times New Roman" w:cs="Times New Roman"/>
          <w:b/>
          <w:bCs/>
          <w:color w:val="0070C0"/>
        </w:rPr>
        <w:t>t Workers and Nursing Mothers</w:t>
      </w:r>
    </w:p>
    <w:p w14:paraId="37620676" w14:textId="77777777" w:rsidR="00090E24" w:rsidRDefault="00090E24" w:rsidP="00090E24">
      <w:pPr>
        <w:jc w:val="both"/>
        <w:rPr>
          <w:rFonts w:ascii="Times New Roman" w:hAnsi="Times New Roman" w:cs="Times New Roman"/>
        </w:rPr>
      </w:pPr>
    </w:p>
    <w:p w14:paraId="034EB881" w14:textId="0DD602B5" w:rsidR="00090E24" w:rsidRPr="00786966" w:rsidRDefault="00090E24" w:rsidP="00090E24">
      <w:pPr>
        <w:jc w:val="both"/>
        <w:rPr>
          <w:rFonts w:ascii="Times New Roman" w:hAnsi="Times New Roman" w:cs="Times New Roman"/>
        </w:rPr>
      </w:pPr>
      <w:r>
        <w:rPr>
          <w:rFonts w:ascii="Times New Roman" w:hAnsi="Times New Roman" w:cs="Times New Roman"/>
        </w:rPr>
        <w:t xml:space="preserve">As </w:t>
      </w:r>
      <w:r w:rsidR="007D7167">
        <w:rPr>
          <w:rFonts w:ascii="Times New Roman" w:hAnsi="Times New Roman" w:cs="Times New Roman"/>
        </w:rPr>
        <w:t>part of its omnibus spending package, the Senate and House last week passed</w:t>
      </w:r>
      <w:r w:rsidR="00630C59">
        <w:rPr>
          <w:rFonts w:ascii="Times New Roman" w:hAnsi="Times New Roman" w:cs="Times New Roman"/>
        </w:rPr>
        <w:t xml:space="preserve"> two pieces of legislation to protect pregnant workers and nursing mothers</w:t>
      </w:r>
      <w:r w:rsidR="008B21AB">
        <w:rPr>
          <w:rFonts w:ascii="Times New Roman" w:hAnsi="Times New Roman" w:cs="Times New Roman"/>
        </w:rPr>
        <w:t>, which President Biden is expected to sign soon.</w:t>
      </w:r>
      <w:r w:rsidR="005B7210">
        <w:rPr>
          <w:rFonts w:ascii="Times New Roman" w:hAnsi="Times New Roman" w:cs="Times New Roman"/>
        </w:rPr>
        <w:t xml:space="preserve"> For employers in states with existing pregnancy and nursing protections, these new requirements</w:t>
      </w:r>
      <w:r w:rsidR="00011D07">
        <w:rPr>
          <w:rFonts w:ascii="Times New Roman" w:hAnsi="Times New Roman" w:cs="Times New Roman"/>
        </w:rPr>
        <w:t xml:space="preserve"> may seem very similar to what is already required under state law. </w:t>
      </w:r>
      <w:r w:rsidR="005B7210">
        <w:rPr>
          <w:rFonts w:ascii="Times New Roman" w:hAnsi="Times New Roman" w:cs="Times New Roman"/>
        </w:rPr>
        <w:t xml:space="preserve"> </w:t>
      </w:r>
    </w:p>
    <w:p w14:paraId="0E26E1AD" w14:textId="77777777" w:rsidR="009425C3" w:rsidRPr="00397593" w:rsidRDefault="009425C3" w:rsidP="009425C3">
      <w:pPr>
        <w:jc w:val="both"/>
        <w:rPr>
          <w:rFonts w:ascii="Times New Roman" w:hAnsi="Times New Roman" w:cs="Times New Roman"/>
          <w:iCs/>
        </w:rPr>
      </w:pPr>
    </w:p>
    <w:p w14:paraId="3971046E" w14:textId="1648F8FC" w:rsidR="0061374C" w:rsidRDefault="00397593" w:rsidP="00397593">
      <w:pPr>
        <w:pStyle w:val="BodyText"/>
        <w:spacing w:before="0"/>
        <w:ind w:left="0" w:firstLine="0"/>
        <w:jc w:val="both"/>
        <w:rPr>
          <w:rFonts w:ascii="Times New Roman" w:hAnsi="Times New Roman"/>
          <w:i w:val="0"/>
          <w:iCs/>
          <w:sz w:val="24"/>
          <w:szCs w:val="24"/>
        </w:rPr>
      </w:pPr>
      <w:r>
        <w:rPr>
          <w:rFonts w:ascii="Times New Roman" w:hAnsi="Times New Roman"/>
          <w:i w:val="0"/>
          <w:iCs/>
          <w:sz w:val="24"/>
          <w:szCs w:val="24"/>
        </w:rPr>
        <w:t>T</w:t>
      </w:r>
      <w:r w:rsidRPr="00397593">
        <w:rPr>
          <w:rFonts w:ascii="Times New Roman" w:hAnsi="Times New Roman"/>
          <w:i w:val="0"/>
          <w:iCs/>
          <w:sz w:val="24"/>
          <w:szCs w:val="24"/>
        </w:rPr>
        <w:t xml:space="preserve">he </w:t>
      </w:r>
      <w:hyperlink r:id="rId12" w:history="1">
        <w:r w:rsidRPr="00397593">
          <w:rPr>
            <w:rStyle w:val="Hyperlink"/>
            <w:rFonts w:ascii="Times New Roman" w:hAnsi="Times New Roman"/>
            <w:i w:val="0"/>
            <w:iCs/>
            <w:sz w:val="24"/>
            <w:szCs w:val="24"/>
          </w:rPr>
          <w:t>Pregnant Workers Fairness Act</w:t>
        </w:r>
      </w:hyperlink>
      <w:r w:rsidRPr="00397593">
        <w:rPr>
          <w:rFonts w:ascii="Times New Roman" w:hAnsi="Times New Roman"/>
          <w:i w:val="0"/>
          <w:iCs/>
          <w:sz w:val="24"/>
          <w:szCs w:val="24"/>
        </w:rPr>
        <w:t xml:space="preserve"> will require employers with 15 or more employees to make reasonable accommodations for workers affected by pregnancy, childbirth, or related medical conditions unless the employer can demonstrate that doing so would impose an undue hardship.</w:t>
      </w:r>
      <w:r w:rsidR="00E17B25">
        <w:rPr>
          <w:rFonts w:ascii="Times New Roman" w:hAnsi="Times New Roman"/>
          <w:i w:val="0"/>
          <w:iCs/>
          <w:sz w:val="24"/>
          <w:szCs w:val="24"/>
        </w:rPr>
        <w:t xml:space="preserve"> Similar to the Americans with Disabilities Act (as applied to disabilities), the Pregnant Workers Fairness Act also makes it unlawful</w:t>
      </w:r>
      <w:r w:rsidR="00402F77">
        <w:rPr>
          <w:rFonts w:ascii="Times New Roman" w:hAnsi="Times New Roman"/>
          <w:i w:val="0"/>
          <w:iCs/>
          <w:sz w:val="24"/>
          <w:szCs w:val="24"/>
        </w:rPr>
        <w:t>:</w:t>
      </w:r>
      <w:r w:rsidR="00E17B25">
        <w:rPr>
          <w:rFonts w:ascii="Times New Roman" w:hAnsi="Times New Roman"/>
          <w:i w:val="0"/>
          <w:iCs/>
          <w:sz w:val="24"/>
          <w:szCs w:val="24"/>
        </w:rPr>
        <w:t xml:space="preserve"> </w:t>
      </w:r>
      <w:r w:rsidR="00402F77">
        <w:rPr>
          <w:rFonts w:ascii="Times New Roman" w:hAnsi="Times New Roman"/>
          <w:i w:val="0"/>
          <w:iCs/>
          <w:sz w:val="24"/>
          <w:szCs w:val="24"/>
        </w:rPr>
        <w:t>(1) t</w:t>
      </w:r>
      <w:r w:rsidR="00E17B25">
        <w:rPr>
          <w:rFonts w:ascii="Times New Roman" w:hAnsi="Times New Roman"/>
          <w:i w:val="0"/>
          <w:iCs/>
          <w:sz w:val="24"/>
          <w:szCs w:val="24"/>
        </w:rPr>
        <w:t>o deny employment opportunities to women based on their need for reasonable accommodations related to pregnancy, childbirth, or related medical conditions</w:t>
      </w:r>
      <w:r w:rsidR="00402F77">
        <w:rPr>
          <w:rFonts w:ascii="Times New Roman" w:hAnsi="Times New Roman"/>
          <w:i w:val="0"/>
          <w:iCs/>
          <w:sz w:val="24"/>
          <w:szCs w:val="24"/>
        </w:rPr>
        <w:t xml:space="preserve">; (2) force a qualified employee to accept an accommodation </w:t>
      </w:r>
      <w:r w:rsidR="001906D6">
        <w:rPr>
          <w:rFonts w:ascii="Times New Roman" w:hAnsi="Times New Roman"/>
          <w:i w:val="0"/>
          <w:iCs/>
          <w:sz w:val="24"/>
          <w:szCs w:val="24"/>
        </w:rPr>
        <w:t xml:space="preserve">other than a reasonable accommodation arrived through the interactive process; and (3) require employees to take paid or unpaid leave if another reasonable accommodation can be provided. </w:t>
      </w:r>
    </w:p>
    <w:p w14:paraId="0884867C" w14:textId="5F27F998" w:rsidR="001906D6" w:rsidRDefault="001906D6" w:rsidP="00397593">
      <w:pPr>
        <w:pStyle w:val="BodyText"/>
        <w:spacing w:before="0"/>
        <w:ind w:left="0" w:firstLine="0"/>
        <w:jc w:val="both"/>
        <w:rPr>
          <w:rFonts w:ascii="Times New Roman" w:hAnsi="Times New Roman"/>
          <w:i w:val="0"/>
          <w:iCs/>
          <w:sz w:val="24"/>
          <w:szCs w:val="24"/>
        </w:rPr>
      </w:pPr>
    </w:p>
    <w:p w14:paraId="1B9F1F0D" w14:textId="3DB6FF02" w:rsidR="001906D6" w:rsidRDefault="008C6F94" w:rsidP="00397593">
      <w:pPr>
        <w:pStyle w:val="BodyText"/>
        <w:spacing w:before="0"/>
        <w:ind w:left="0" w:firstLine="0"/>
        <w:jc w:val="both"/>
        <w:rPr>
          <w:rFonts w:ascii="Times New Roman" w:hAnsi="Times New Roman"/>
          <w:i w:val="0"/>
          <w:iCs/>
          <w:sz w:val="24"/>
          <w:szCs w:val="24"/>
        </w:rPr>
      </w:pPr>
      <w:r>
        <w:rPr>
          <w:rFonts w:ascii="Times New Roman" w:hAnsi="Times New Roman"/>
          <w:i w:val="0"/>
          <w:iCs/>
          <w:sz w:val="24"/>
          <w:szCs w:val="24"/>
        </w:rPr>
        <w:t xml:space="preserve">The </w:t>
      </w:r>
      <w:hyperlink r:id="rId13" w:history="1">
        <w:r w:rsidRPr="005B7210">
          <w:rPr>
            <w:rStyle w:val="Hyperlink"/>
            <w:rFonts w:ascii="Times New Roman" w:hAnsi="Times New Roman"/>
            <w:i w:val="0"/>
            <w:iCs/>
            <w:sz w:val="24"/>
            <w:szCs w:val="24"/>
          </w:rPr>
          <w:t>PUMP for Nursing Mother Act</w:t>
        </w:r>
      </w:hyperlink>
      <w:r>
        <w:rPr>
          <w:rFonts w:ascii="Times New Roman" w:hAnsi="Times New Roman"/>
          <w:i w:val="0"/>
          <w:iCs/>
          <w:sz w:val="24"/>
          <w:szCs w:val="24"/>
        </w:rPr>
        <w:t xml:space="preserve"> </w:t>
      </w:r>
      <w:r w:rsidR="00A01DF0">
        <w:rPr>
          <w:rFonts w:ascii="Times New Roman" w:hAnsi="Times New Roman"/>
          <w:i w:val="0"/>
          <w:iCs/>
          <w:sz w:val="24"/>
          <w:szCs w:val="24"/>
        </w:rPr>
        <w:t xml:space="preserve">expands </w:t>
      </w:r>
      <w:r w:rsidR="00551515">
        <w:rPr>
          <w:rFonts w:ascii="Times New Roman" w:hAnsi="Times New Roman"/>
          <w:i w:val="0"/>
          <w:iCs/>
          <w:sz w:val="24"/>
          <w:szCs w:val="24"/>
        </w:rPr>
        <w:t xml:space="preserve">the requirement that employers provide accommodations for nursing mothers to also cover salaried workers and other types of workers not covered under existing federal nursing mother protections. </w:t>
      </w:r>
      <w:r w:rsidR="003E790B">
        <w:rPr>
          <w:rFonts w:ascii="Times New Roman" w:hAnsi="Times New Roman"/>
          <w:i w:val="0"/>
          <w:iCs/>
          <w:sz w:val="24"/>
          <w:szCs w:val="24"/>
        </w:rPr>
        <w:t>Additionally, time spent express breast milk must be considered hours worked if the employee is also working. However, the time may be unpaid if pumping is done on a break (</w:t>
      </w:r>
      <w:r w:rsidR="00A52C2A">
        <w:rPr>
          <w:rFonts w:ascii="Times New Roman" w:hAnsi="Times New Roman"/>
          <w:i w:val="0"/>
          <w:iCs/>
          <w:sz w:val="24"/>
          <w:szCs w:val="24"/>
        </w:rPr>
        <w:t xml:space="preserve">unless otherwise required by other applicable law). Finally, the Act extends the available time period for such accommodations from one year to two years. </w:t>
      </w:r>
    </w:p>
    <w:p w14:paraId="2E2EA6E1" w14:textId="4EC4CE7E" w:rsidR="00A52C2A" w:rsidRDefault="00A52C2A" w:rsidP="00397593">
      <w:pPr>
        <w:pStyle w:val="BodyText"/>
        <w:spacing w:before="0"/>
        <w:ind w:left="0" w:firstLine="0"/>
        <w:jc w:val="both"/>
        <w:rPr>
          <w:rFonts w:ascii="Times New Roman" w:hAnsi="Times New Roman"/>
          <w:i w:val="0"/>
          <w:iCs/>
          <w:sz w:val="24"/>
          <w:szCs w:val="24"/>
        </w:rPr>
      </w:pPr>
    </w:p>
    <w:p w14:paraId="3F959CF2" w14:textId="3CF41F9A" w:rsidR="009E26C2" w:rsidRDefault="00F217A8" w:rsidP="004106CD">
      <w:pPr>
        <w:pStyle w:val="BodyText"/>
        <w:spacing w:before="0"/>
        <w:ind w:left="0" w:firstLine="0"/>
        <w:jc w:val="both"/>
        <w:rPr>
          <w:rFonts w:ascii="Times New Roman" w:hAnsi="Times New Roman"/>
          <w:i w:val="0"/>
          <w:iCs/>
          <w:sz w:val="24"/>
          <w:szCs w:val="24"/>
        </w:rPr>
      </w:pPr>
      <w:r>
        <w:rPr>
          <w:rFonts w:ascii="Times New Roman" w:hAnsi="Times New Roman"/>
          <w:i w:val="0"/>
          <w:iCs/>
          <w:sz w:val="24"/>
          <w:szCs w:val="24"/>
        </w:rPr>
        <w:t xml:space="preserve">Employers should be ready to consult legal counsel </w:t>
      </w:r>
      <w:r w:rsidR="009E5E3B">
        <w:rPr>
          <w:rFonts w:ascii="Times New Roman" w:hAnsi="Times New Roman"/>
          <w:i w:val="0"/>
          <w:iCs/>
          <w:sz w:val="24"/>
          <w:szCs w:val="24"/>
        </w:rPr>
        <w:t>to ensure their</w:t>
      </w:r>
      <w:r>
        <w:rPr>
          <w:rFonts w:ascii="Times New Roman" w:hAnsi="Times New Roman"/>
          <w:i w:val="0"/>
          <w:iCs/>
          <w:sz w:val="24"/>
          <w:szCs w:val="24"/>
        </w:rPr>
        <w:t xml:space="preserve"> handbooks and policies</w:t>
      </w:r>
      <w:r w:rsidR="009E5E3B">
        <w:rPr>
          <w:rFonts w:ascii="Times New Roman" w:hAnsi="Times New Roman"/>
          <w:i w:val="0"/>
          <w:iCs/>
          <w:sz w:val="24"/>
          <w:szCs w:val="24"/>
        </w:rPr>
        <w:t xml:space="preserve"> </w:t>
      </w:r>
      <w:r w:rsidR="004106CD">
        <w:rPr>
          <w:rFonts w:ascii="Times New Roman" w:hAnsi="Times New Roman"/>
          <w:i w:val="0"/>
          <w:iCs/>
          <w:sz w:val="24"/>
          <w:szCs w:val="24"/>
        </w:rPr>
        <w:t xml:space="preserve">are compliant with these new requirements, should President Biden sign them into law. </w:t>
      </w:r>
    </w:p>
    <w:p w14:paraId="7C6D37AD" w14:textId="77777777" w:rsidR="004106CD" w:rsidRPr="00397593" w:rsidRDefault="004106CD" w:rsidP="004106CD">
      <w:pPr>
        <w:pStyle w:val="BodyText"/>
        <w:spacing w:before="0"/>
        <w:ind w:left="0" w:firstLine="0"/>
        <w:jc w:val="both"/>
        <w:rPr>
          <w:rFonts w:ascii="Times New Roman" w:hAnsi="Times New Roman"/>
          <w:i w:val="0"/>
          <w:iCs/>
          <w:sz w:val="24"/>
          <w:szCs w:val="24"/>
        </w:rPr>
      </w:pPr>
    </w:p>
    <w:p w14:paraId="064772BA" w14:textId="77777777" w:rsidR="00251A88" w:rsidRPr="004C482C" w:rsidRDefault="00251A88" w:rsidP="002422B1">
      <w:pPr>
        <w:pStyle w:val="BodyText"/>
        <w:spacing w:before="0"/>
        <w:ind w:left="305" w:right="324" w:firstLine="0"/>
        <w:jc w:val="center"/>
        <w:rPr>
          <w:rFonts w:ascii="Times New Roman" w:hAnsi="Times New Roman"/>
          <w:sz w:val="24"/>
          <w:szCs w:val="24"/>
        </w:rPr>
      </w:pPr>
    </w:p>
    <w:p w14:paraId="25249ED3" w14:textId="77777777" w:rsidR="009E26C2" w:rsidRPr="009E26C2" w:rsidRDefault="009E26C2" w:rsidP="009E26C2">
      <w:pPr>
        <w:jc w:val="center"/>
        <w:rPr>
          <w:rFonts w:ascii="Times New Roman" w:eastAsia="Times New Roman" w:hAnsi="Times New Roman" w:cs="Times New Roman"/>
          <w:i/>
          <w:iCs/>
          <w:sz w:val="20"/>
          <w:szCs w:val="20"/>
        </w:rPr>
      </w:pPr>
      <w:r w:rsidRPr="009E26C2">
        <w:rPr>
          <w:rFonts w:ascii="Times New Roman" w:hAnsi="Times New Roman" w:cs="Times New Roman"/>
          <w:i/>
          <w:iCs/>
          <w:sz w:val="20"/>
          <w:szCs w:val="20"/>
        </w:rPr>
        <w:t>Please note that these are fast-moving times, and the information provided is only accurate as of the day posted (December 29, 2022).</w:t>
      </w:r>
      <w:r w:rsidRPr="009E26C2">
        <w:rPr>
          <w:rFonts w:ascii="Times New Roman" w:hAnsi="Times New Roman" w:cs="Times New Roman"/>
          <w:sz w:val="20"/>
          <w:szCs w:val="20"/>
        </w:rPr>
        <w:t xml:space="preserve"> </w:t>
      </w:r>
      <w:bookmarkEnd w:id="0"/>
      <w:r w:rsidRPr="009E26C2">
        <w:rPr>
          <w:rFonts w:ascii="Times New Roman" w:eastAsia="Times New Roman" w:hAnsi="Times New Roman" w:cs="Times New Roman"/>
          <w:i/>
          <w:iCs/>
          <w:sz w:val="20"/>
          <w:szCs w:val="20"/>
        </w:rPr>
        <w:t>The information provided does not, and is not intended to, constitute legal advice; instead, all information is prepared and provided for general informational purposes only.</w:t>
      </w:r>
    </w:p>
    <w:p w14:paraId="2B2565C4" w14:textId="69B2D584" w:rsidR="001810B1" w:rsidRPr="009E26C2" w:rsidRDefault="009E26C2" w:rsidP="009E26C2">
      <w:pPr>
        <w:jc w:val="center"/>
        <w:rPr>
          <w:rFonts w:ascii="Times New Roman" w:eastAsia="Calibri" w:hAnsi="Times New Roman" w:cs="Times New Roman"/>
          <w:i/>
          <w:iCs/>
          <w:sz w:val="20"/>
          <w:szCs w:val="20"/>
        </w:rPr>
      </w:pPr>
      <w:r w:rsidRPr="009E26C2">
        <w:rPr>
          <w:rFonts w:ascii="Times New Roman" w:eastAsia="Times New Roman" w:hAnsi="Times New Roman" w:cs="Times New Roman"/>
          <w:i/>
          <w:iCs/>
          <w:sz w:val="20"/>
          <w:szCs w:val="20"/>
        </w:rPr>
        <w:t xml:space="preserve">Copyright © 2020 Roe Law Group, PLLC, </w:t>
      </w:r>
      <w:proofErr w:type="gramStart"/>
      <w:r w:rsidRPr="009E26C2">
        <w:rPr>
          <w:rFonts w:ascii="Times New Roman" w:eastAsia="Times New Roman" w:hAnsi="Times New Roman" w:cs="Times New Roman"/>
          <w:i/>
          <w:iCs/>
          <w:sz w:val="20"/>
          <w:szCs w:val="20"/>
        </w:rPr>
        <w:t>All</w:t>
      </w:r>
      <w:proofErr w:type="gramEnd"/>
      <w:r w:rsidRPr="009E26C2">
        <w:rPr>
          <w:rFonts w:ascii="Times New Roman" w:eastAsia="Times New Roman" w:hAnsi="Times New Roman" w:cs="Times New Roman"/>
          <w:i/>
          <w:iCs/>
          <w:sz w:val="20"/>
          <w:szCs w:val="20"/>
        </w:rPr>
        <w:t xml:space="preserve"> rights reserved.</w:t>
      </w:r>
    </w:p>
    <w:sectPr w:rsidR="001810B1" w:rsidRPr="009E26C2" w:rsidSect="0010601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1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ED79D" w14:textId="77777777" w:rsidR="00E57E7B" w:rsidRDefault="00E57E7B" w:rsidP="00AC7884">
      <w:r>
        <w:separator/>
      </w:r>
    </w:p>
  </w:endnote>
  <w:endnote w:type="continuationSeparator" w:id="0">
    <w:p w14:paraId="777A21AD" w14:textId="77777777" w:rsidR="00E57E7B" w:rsidRDefault="00E57E7B" w:rsidP="00AC7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6777007"/>
      <w:docPartObj>
        <w:docPartGallery w:val="Page Numbers (Bottom of Page)"/>
        <w:docPartUnique/>
      </w:docPartObj>
    </w:sdtPr>
    <w:sdtContent>
      <w:p w14:paraId="41130534" w14:textId="77777777" w:rsidR="00AC7884" w:rsidRDefault="00AC7884" w:rsidP="004E6B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BB628D" w14:textId="77777777" w:rsidR="00AC7884" w:rsidRDefault="00AC7884" w:rsidP="00AC7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523911"/>
      <w:docPartObj>
        <w:docPartGallery w:val="Page Numbers (Bottom of Page)"/>
        <w:docPartUnique/>
      </w:docPartObj>
    </w:sdtPr>
    <w:sdtEndPr>
      <w:rPr>
        <w:noProof/>
      </w:rPr>
    </w:sdtEndPr>
    <w:sdtContent>
      <w:p w14:paraId="5F0A27B0" w14:textId="77777777" w:rsidR="001810B1" w:rsidRDefault="001810B1">
        <w:pPr>
          <w:pStyle w:val="Footer"/>
          <w:jc w:val="center"/>
        </w:pPr>
        <w:r w:rsidRPr="001810B1">
          <w:rPr>
            <w:rFonts w:ascii="Times New Roman" w:hAnsi="Times New Roman" w:cs="Times New Roman"/>
          </w:rPr>
          <w:fldChar w:fldCharType="begin"/>
        </w:r>
        <w:r w:rsidRPr="001810B1">
          <w:rPr>
            <w:rFonts w:ascii="Times New Roman" w:hAnsi="Times New Roman" w:cs="Times New Roman"/>
          </w:rPr>
          <w:instrText xml:space="preserve"> PAGE   \* MERGEFORMAT </w:instrText>
        </w:r>
        <w:r w:rsidRPr="001810B1">
          <w:rPr>
            <w:rFonts w:ascii="Times New Roman" w:hAnsi="Times New Roman" w:cs="Times New Roman"/>
          </w:rPr>
          <w:fldChar w:fldCharType="separate"/>
        </w:r>
        <w:r w:rsidRPr="001810B1">
          <w:rPr>
            <w:rFonts w:ascii="Times New Roman" w:hAnsi="Times New Roman" w:cs="Times New Roman"/>
            <w:noProof/>
          </w:rPr>
          <w:t>2</w:t>
        </w:r>
        <w:r w:rsidRPr="001810B1">
          <w:rPr>
            <w:rFonts w:ascii="Times New Roman" w:hAnsi="Times New Roman" w:cs="Times New Roman"/>
            <w:noProof/>
          </w:rPr>
          <w:fldChar w:fldCharType="end"/>
        </w:r>
      </w:p>
    </w:sdtContent>
  </w:sdt>
  <w:p w14:paraId="23A16C59" w14:textId="456DA147" w:rsidR="00AC7884" w:rsidRDefault="00AC7884" w:rsidP="00AC7884">
    <w:pPr>
      <w:pStyle w:val="Footer"/>
      <w:ind w:right="360"/>
    </w:pPr>
  </w:p>
  <w:p w14:paraId="20C11120" w14:textId="566B9AEC" w:rsidR="0045271C" w:rsidRDefault="0045271C" w:rsidP="0045271C">
    <w:pPr>
      <w:pStyle w:val="Footer"/>
      <w:spacing w:line="180" w:lineRule="exact"/>
      <w:ind w:right="360"/>
    </w:pPr>
  </w:p>
  <w:p w14:paraId="0A2097C6" w14:textId="7E6EC143" w:rsidR="0010601B" w:rsidRDefault="0010601B" w:rsidP="0010601B">
    <w:pPr>
      <w:pStyle w:val="Footer"/>
      <w:spacing w:line="18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0A3A" w14:textId="77777777" w:rsidR="003B5A8A" w:rsidRDefault="003B5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6FB19" w14:textId="77777777" w:rsidR="00E57E7B" w:rsidRDefault="00E57E7B" w:rsidP="00AC7884">
      <w:r>
        <w:separator/>
      </w:r>
    </w:p>
  </w:footnote>
  <w:footnote w:type="continuationSeparator" w:id="0">
    <w:p w14:paraId="4107E830" w14:textId="77777777" w:rsidR="00E57E7B" w:rsidRDefault="00E57E7B" w:rsidP="00AC7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0158" w14:textId="77777777" w:rsidR="003B5A8A" w:rsidRDefault="003B5A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5800E" w14:textId="2F1E60D2" w:rsidR="00544CC4" w:rsidRPr="00DD0E10" w:rsidRDefault="009425C3" w:rsidP="00544CC4">
    <w:pPr>
      <w:pStyle w:val="Header"/>
      <w:jc w:val="right"/>
      <w:rPr>
        <w:rFonts w:ascii="Times New Roman" w:hAnsi="Times New Roman" w:cs="Times New Roman"/>
        <w:sz w:val="23"/>
        <w:szCs w:val="23"/>
      </w:rPr>
    </w:pPr>
    <w:r>
      <w:rPr>
        <w:rFonts w:ascii="Times New Roman" w:hAnsi="Times New Roman" w:cs="Times New Roman"/>
        <w:sz w:val="23"/>
        <w:szCs w:val="23"/>
      </w:rPr>
      <w:t>December</w:t>
    </w:r>
    <w:r w:rsidR="000C70AC">
      <w:rPr>
        <w:rFonts w:ascii="Times New Roman" w:hAnsi="Times New Roman" w:cs="Times New Roman"/>
        <w:sz w:val="23"/>
        <w:szCs w:val="23"/>
      </w:rPr>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5F15" w14:textId="77777777" w:rsidR="001810B1" w:rsidRPr="001810B1" w:rsidRDefault="001810B1" w:rsidP="001810B1">
    <w:pPr>
      <w:tabs>
        <w:tab w:val="center" w:pos="4320"/>
        <w:tab w:val="right" w:pos="8640"/>
      </w:tabs>
      <w:jc w:val="center"/>
      <w:rPr>
        <w:rFonts w:ascii="Times New Roman" w:eastAsia="Cambria" w:hAnsi="Times New Roman" w:cs="Times New Roman"/>
        <w:szCs w:val="20"/>
      </w:rPr>
    </w:pPr>
    <w:r w:rsidRPr="001810B1">
      <w:rPr>
        <w:rFonts w:ascii="Calibri" w:eastAsia="Calibri" w:hAnsi="Calibri" w:cs="Times New Roman"/>
        <w:noProof/>
      </w:rPr>
      <w:drawing>
        <wp:inline distT="0" distB="0" distL="0" distR="0" wp14:anchorId="4387006F" wp14:editId="2D287DD0">
          <wp:extent cx="2276475" cy="4572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457200"/>
                  </a:xfrm>
                  <a:prstGeom prst="rect">
                    <a:avLst/>
                  </a:prstGeom>
                  <a:noFill/>
                  <a:ln>
                    <a:noFill/>
                  </a:ln>
                </pic:spPr>
              </pic:pic>
            </a:graphicData>
          </a:graphic>
        </wp:inline>
      </w:drawing>
    </w:r>
  </w:p>
  <w:p w14:paraId="50304FF8" w14:textId="77777777" w:rsidR="001810B1" w:rsidRPr="001810B1" w:rsidRDefault="001810B1" w:rsidP="001810B1">
    <w:pPr>
      <w:tabs>
        <w:tab w:val="center" w:pos="4320"/>
        <w:tab w:val="right" w:pos="8640"/>
      </w:tabs>
      <w:rPr>
        <w:rFonts w:ascii="Times New Roman" w:eastAsia="Cambria" w:hAnsi="Times New Roman" w:cs="Times New Roman"/>
        <w:szCs w:val="20"/>
      </w:rPr>
    </w:pPr>
  </w:p>
  <w:p w14:paraId="6878B56C" w14:textId="77777777" w:rsidR="001810B1" w:rsidRPr="001810B1" w:rsidRDefault="001810B1" w:rsidP="00876B52">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Jessica L. Roe</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60 South Sixth Street</w:t>
    </w:r>
  </w:p>
  <w:p w14:paraId="79D4E711" w14:textId="16EA6394" w:rsidR="001810B1" w:rsidRPr="001810B1" w:rsidRDefault="001810B1" w:rsidP="00876B52">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Attorney</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 xml:space="preserve">Suite </w:t>
    </w:r>
    <w:r w:rsidR="003B5A8A">
      <w:rPr>
        <w:rFonts w:ascii="Times New Roman" w:eastAsia="Cambria" w:hAnsi="Times New Roman" w:cs="Times New Roman"/>
        <w:sz w:val="18"/>
        <w:szCs w:val="18"/>
      </w:rPr>
      <w:t>375</w:t>
    </w:r>
    <w:r w:rsidRPr="001810B1">
      <w:rPr>
        <w:rFonts w:ascii="Times New Roman" w:eastAsia="Cambria" w:hAnsi="Times New Roman" w:cs="Times New Roman"/>
        <w:sz w:val="18"/>
        <w:szCs w:val="18"/>
      </w:rPr>
      <w:t>0</w:t>
    </w:r>
  </w:p>
  <w:p w14:paraId="77B17A86" w14:textId="77777777" w:rsidR="001810B1" w:rsidRPr="001810B1" w:rsidRDefault="001810B1" w:rsidP="00876B52">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Minneapolis, MN  55402</w:t>
    </w:r>
  </w:p>
  <w:p w14:paraId="6EB6508D" w14:textId="77777777" w:rsidR="001810B1" w:rsidRPr="001810B1" w:rsidRDefault="001810B1" w:rsidP="00876B52">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612-351-8305 (D)</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612-351-8300 (O)</w:t>
    </w:r>
  </w:p>
  <w:p w14:paraId="633D2463" w14:textId="77777777" w:rsidR="001810B1" w:rsidRPr="001810B1" w:rsidRDefault="001810B1" w:rsidP="00876B52">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 xml:space="preserve">612-810-1807 (C) </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612-351-8301 (F)</w:t>
    </w:r>
  </w:p>
  <w:p w14:paraId="3BA9CAD9" w14:textId="77777777" w:rsidR="001810B1" w:rsidRPr="001810B1" w:rsidRDefault="001810B1" w:rsidP="00876B52">
    <w:pPr>
      <w:tabs>
        <w:tab w:val="center" w:pos="4320"/>
        <w:tab w:val="right" w:pos="9360"/>
      </w:tabs>
      <w:rPr>
        <w:rFonts w:ascii="Times New Roman" w:eastAsia="Cambria" w:hAnsi="Times New Roman" w:cs="Times New Roman"/>
        <w:sz w:val="18"/>
        <w:szCs w:val="18"/>
      </w:rPr>
    </w:pPr>
    <w:r w:rsidRPr="001810B1">
      <w:rPr>
        <w:rFonts w:ascii="Times New Roman" w:eastAsia="Cambria" w:hAnsi="Times New Roman" w:cs="Times New Roman"/>
        <w:sz w:val="18"/>
        <w:szCs w:val="18"/>
      </w:rPr>
      <w:t>jroe@roelawgroup.com</w:t>
    </w:r>
    <w:r w:rsidRPr="001810B1">
      <w:rPr>
        <w:rFonts w:ascii="Times New Roman" w:eastAsia="Cambria" w:hAnsi="Times New Roman" w:cs="Times New Roman"/>
        <w:sz w:val="18"/>
        <w:szCs w:val="18"/>
      </w:rPr>
      <w:tab/>
    </w:r>
    <w:r w:rsidRPr="001810B1">
      <w:rPr>
        <w:rFonts w:ascii="Times New Roman" w:eastAsia="Cambria" w:hAnsi="Times New Roman" w:cs="Times New Roman"/>
        <w:sz w:val="18"/>
        <w:szCs w:val="18"/>
      </w:rPr>
      <w:tab/>
      <w:t>www.roelawgroup.com</w:t>
    </w:r>
  </w:p>
  <w:p w14:paraId="7BD7BB59" w14:textId="77777777" w:rsidR="001810B1" w:rsidRDefault="001810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27DD"/>
    <w:multiLevelType w:val="hybridMultilevel"/>
    <w:tmpl w:val="068ED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06170"/>
    <w:multiLevelType w:val="hybridMultilevel"/>
    <w:tmpl w:val="B89A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E12F4"/>
    <w:multiLevelType w:val="hybridMultilevel"/>
    <w:tmpl w:val="981A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585F"/>
    <w:multiLevelType w:val="hybridMultilevel"/>
    <w:tmpl w:val="F72C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34792"/>
    <w:multiLevelType w:val="hybridMultilevel"/>
    <w:tmpl w:val="0D8A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4173F"/>
    <w:multiLevelType w:val="hybridMultilevel"/>
    <w:tmpl w:val="122A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32E53"/>
    <w:multiLevelType w:val="hybridMultilevel"/>
    <w:tmpl w:val="DFA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B1589"/>
    <w:multiLevelType w:val="hybridMultilevel"/>
    <w:tmpl w:val="EC42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D57EE"/>
    <w:multiLevelType w:val="multilevel"/>
    <w:tmpl w:val="3620EDE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F05CB"/>
    <w:multiLevelType w:val="hybridMultilevel"/>
    <w:tmpl w:val="EB40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47D7C"/>
    <w:multiLevelType w:val="hybridMultilevel"/>
    <w:tmpl w:val="41C4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141A00"/>
    <w:multiLevelType w:val="hybridMultilevel"/>
    <w:tmpl w:val="6F86D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D7F4A"/>
    <w:multiLevelType w:val="hybridMultilevel"/>
    <w:tmpl w:val="1A766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D3AB1"/>
    <w:multiLevelType w:val="hybridMultilevel"/>
    <w:tmpl w:val="A2D8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A72B68"/>
    <w:multiLevelType w:val="multilevel"/>
    <w:tmpl w:val="CCB845F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E95E13"/>
    <w:multiLevelType w:val="hybridMultilevel"/>
    <w:tmpl w:val="A38C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4A683B"/>
    <w:multiLevelType w:val="hybridMultilevel"/>
    <w:tmpl w:val="E9EED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72089E"/>
    <w:multiLevelType w:val="hybridMultilevel"/>
    <w:tmpl w:val="99FC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E09D6"/>
    <w:multiLevelType w:val="hybridMultilevel"/>
    <w:tmpl w:val="2CD0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15244F"/>
    <w:multiLevelType w:val="hybridMultilevel"/>
    <w:tmpl w:val="299EE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BF17A9"/>
    <w:multiLevelType w:val="hybridMultilevel"/>
    <w:tmpl w:val="C79C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57E29"/>
    <w:multiLevelType w:val="hybridMultilevel"/>
    <w:tmpl w:val="A264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00A19"/>
    <w:multiLevelType w:val="hybridMultilevel"/>
    <w:tmpl w:val="2A904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C00A7"/>
    <w:multiLevelType w:val="hybridMultilevel"/>
    <w:tmpl w:val="2E028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D551A"/>
    <w:multiLevelType w:val="hybridMultilevel"/>
    <w:tmpl w:val="3BB84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D33C7"/>
    <w:multiLevelType w:val="hybridMultilevel"/>
    <w:tmpl w:val="3CAAD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E01038"/>
    <w:multiLevelType w:val="hybridMultilevel"/>
    <w:tmpl w:val="D1D0D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742B6"/>
    <w:multiLevelType w:val="hybridMultilevel"/>
    <w:tmpl w:val="10168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8D38E9"/>
    <w:multiLevelType w:val="hybridMultilevel"/>
    <w:tmpl w:val="10B07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F62907"/>
    <w:multiLevelType w:val="hybridMultilevel"/>
    <w:tmpl w:val="3CA2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1518DA"/>
    <w:multiLevelType w:val="hybridMultilevel"/>
    <w:tmpl w:val="49186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C01D68"/>
    <w:multiLevelType w:val="hybridMultilevel"/>
    <w:tmpl w:val="B6D6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5B03A5"/>
    <w:multiLevelType w:val="hybridMultilevel"/>
    <w:tmpl w:val="DD3CC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6D411D"/>
    <w:multiLevelType w:val="hybridMultilevel"/>
    <w:tmpl w:val="6B26F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4D1BE9"/>
    <w:multiLevelType w:val="hybridMultilevel"/>
    <w:tmpl w:val="C1D8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6157303">
    <w:abstractNumId w:val="14"/>
  </w:num>
  <w:num w:numId="2" w16cid:durableId="313071337">
    <w:abstractNumId w:val="8"/>
  </w:num>
  <w:num w:numId="3" w16cid:durableId="1096554428">
    <w:abstractNumId w:val="13"/>
  </w:num>
  <w:num w:numId="4" w16cid:durableId="1795710087">
    <w:abstractNumId w:val="12"/>
  </w:num>
  <w:num w:numId="5" w16cid:durableId="1350184554">
    <w:abstractNumId w:val="25"/>
  </w:num>
  <w:num w:numId="6" w16cid:durableId="478496582">
    <w:abstractNumId w:val="34"/>
  </w:num>
  <w:num w:numId="7" w16cid:durableId="1494447647">
    <w:abstractNumId w:val="1"/>
  </w:num>
  <w:num w:numId="8" w16cid:durableId="1527477960">
    <w:abstractNumId w:val="30"/>
  </w:num>
  <w:num w:numId="9" w16cid:durableId="1170944066">
    <w:abstractNumId w:val="7"/>
  </w:num>
  <w:num w:numId="10" w16cid:durableId="190849212">
    <w:abstractNumId w:val="18"/>
  </w:num>
  <w:num w:numId="11" w16cid:durableId="15739751">
    <w:abstractNumId w:val="24"/>
  </w:num>
  <w:num w:numId="12" w16cid:durableId="1564486641">
    <w:abstractNumId w:val="22"/>
  </w:num>
  <w:num w:numId="13" w16cid:durableId="1369990880">
    <w:abstractNumId w:val="33"/>
  </w:num>
  <w:num w:numId="14" w16cid:durableId="112671505">
    <w:abstractNumId w:val="9"/>
  </w:num>
  <w:num w:numId="15" w16cid:durableId="372968315">
    <w:abstractNumId w:val="16"/>
  </w:num>
  <w:num w:numId="16" w16cid:durableId="535580567">
    <w:abstractNumId w:val="27"/>
  </w:num>
  <w:num w:numId="17" w16cid:durableId="1493325973">
    <w:abstractNumId w:val="21"/>
  </w:num>
  <w:num w:numId="18" w16cid:durableId="267124936">
    <w:abstractNumId w:val="17"/>
  </w:num>
  <w:num w:numId="19" w16cid:durableId="945428908">
    <w:abstractNumId w:val="2"/>
  </w:num>
  <w:num w:numId="20" w16cid:durableId="1893344690">
    <w:abstractNumId w:val="20"/>
  </w:num>
  <w:num w:numId="21" w16cid:durableId="342709413">
    <w:abstractNumId w:val="5"/>
  </w:num>
  <w:num w:numId="22" w16cid:durableId="319894641">
    <w:abstractNumId w:val="4"/>
  </w:num>
  <w:num w:numId="23" w16cid:durableId="1355765744">
    <w:abstractNumId w:val="11"/>
  </w:num>
  <w:num w:numId="24" w16cid:durableId="403727982">
    <w:abstractNumId w:val="31"/>
  </w:num>
  <w:num w:numId="25" w16cid:durableId="1411927624">
    <w:abstractNumId w:val="26"/>
  </w:num>
  <w:num w:numId="26" w16cid:durableId="1769814777">
    <w:abstractNumId w:val="0"/>
  </w:num>
  <w:num w:numId="27" w16cid:durableId="1503624404">
    <w:abstractNumId w:val="23"/>
  </w:num>
  <w:num w:numId="28" w16cid:durableId="521824597">
    <w:abstractNumId w:val="15"/>
  </w:num>
  <w:num w:numId="29" w16cid:durableId="1389037283">
    <w:abstractNumId w:val="32"/>
  </w:num>
  <w:num w:numId="30" w16cid:durableId="329022004">
    <w:abstractNumId w:val="6"/>
  </w:num>
  <w:num w:numId="31" w16cid:durableId="1438403864">
    <w:abstractNumId w:val="29"/>
  </w:num>
  <w:num w:numId="32" w16cid:durableId="142355919">
    <w:abstractNumId w:val="19"/>
  </w:num>
  <w:num w:numId="33" w16cid:durableId="107819021">
    <w:abstractNumId w:val="10"/>
  </w:num>
  <w:num w:numId="34" w16cid:durableId="721052231">
    <w:abstractNumId w:val="28"/>
  </w:num>
  <w:num w:numId="35" w16cid:durableId="1078483880">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55-7614-2629, v. 2"/>
    <w:docVar w:name="ndGeneratedStampLocation" w:val="EachPage"/>
  </w:docVars>
  <w:rsids>
    <w:rsidRoot w:val="00C61970"/>
    <w:rsid w:val="00011D07"/>
    <w:rsid w:val="00016C7C"/>
    <w:rsid w:val="000201FC"/>
    <w:rsid w:val="000268B2"/>
    <w:rsid w:val="00054345"/>
    <w:rsid w:val="000707D4"/>
    <w:rsid w:val="000802AB"/>
    <w:rsid w:val="00090E24"/>
    <w:rsid w:val="000A7276"/>
    <w:rsid w:val="000B59BB"/>
    <w:rsid w:val="000C70AC"/>
    <w:rsid w:val="000C7965"/>
    <w:rsid w:val="0010601B"/>
    <w:rsid w:val="00145198"/>
    <w:rsid w:val="00172DAF"/>
    <w:rsid w:val="001810B1"/>
    <w:rsid w:val="001906D6"/>
    <w:rsid w:val="001A203E"/>
    <w:rsid w:val="001D6630"/>
    <w:rsid w:val="0021041A"/>
    <w:rsid w:val="002422B1"/>
    <w:rsid w:val="00251A88"/>
    <w:rsid w:val="002C3403"/>
    <w:rsid w:val="00332B28"/>
    <w:rsid w:val="0033524D"/>
    <w:rsid w:val="00397593"/>
    <w:rsid w:val="003B5A8A"/>
    <w:rsid w:val="003C3F14"/>
    <w:rsid w:val="003D27BD"/>
    <w:rsid w:val="003E790B"/>
    <w:rsid w:val="00402F77"/>
    <w:rsid w:val="004106CD"/>
    <w:rsid w:val="0045271C"/>
    <w:rsid w:val="004540A2"/>
    <w:rsid w:val="00473F99"/>
    <w:rsid w:val="004812DB"/>
    <w:rsid w:val="004A482D"/>
    <w:rsid w:val="004C482C"/>
    <w:rsid w:val="004E19BA"/>
    <w:rsid w:val="00537EE7"/>
    <w:rsid w:val="00544CC4"/>
    <w:rsid w:val="00551515"/>
    <w:rsid w:val="00551924"/>
    <w:rsid w:val="005B7210"/>
    <w:rsid w:val="005C2784"/>
    <w:rsid w:val="005C4229"/>
    <w:rsid w:val="005D25A5"/>
    <w:rsid w:val="005D5097"/>
    <w:rsid w:val="0061374C"/>
    <w:rsid w:val="00616F9A"/>
    <w:rsid w:val="00630C59"/>
    <w:rsid w:val="0063455F"/>
    <w:rsid w:val="00647FC9"/>
    <w:rsid w:val="00651C4C"/>
    <w:rsid w:val="00670DC2"/>
    <w:rsid w:val="006759F7"/>
    <w:rsid w:val="006B0A98"/>
    <w:rsid w:val="007060DA"/>
    <w:rsid w:val="00711294"/>
    <w:rsid w:val="00715141"/>
    <w:rsid w:val="00743491"/>
    <w:rsid w:val="00754164"/>
    <w:rsid w:val="0079001E"/>
    <w:rsid w:val="007D7167"/>
    <w:rsid w:val="007E111C"/>
    <w:rsid w:val="007F2821"/>
    <w:rsid w:val="007F686C"/>
    <w:rsid w:val="00876B52"/>
    <w:rsid w:val="008B21AB"/>
    <w:rsid w:val="008B52AE"/>
    <w:rsid w:val="008C5E5A"/>
    <w:rsid w:val="008C6F94"/>
    <w:rsid w:val="008D4B86"/>
    <w:rsid w:val="009367C7"/>
    <w:rsid w:val="009425C3"/>
    <w:rsid w:val="0098376D"/>
    <w:rsid w:val="009B34B6"/>
    <w:rsid w:val="009D0716"/>
    <w:rsid w:val="009E26C2"/>
    <w:rsid w:val="009E5046"/>
    <w:rsid w:val="009E5E3B"/>
    <w:rsid w:val="00A01DF0"/>
    <w:rsid w:val="00A52C2A"/>
    <w:rsid w:val="00A72A92"/>
    <w:rsid w:val="00A74F43"/>
    <w:rsid w:val="00A76F73"/>
    <w:rsid w:val="00A92899"/>
    <w:rsid w:val="00AA4B4C"/>
    <w:rsid w:val="00AA79C1"/>
    <w:rsid w:val="00AC1554"/>
    <w:rsid w:val="00AC6191"/>
    <w:rsid w:val="00AC7884"/>
    <w:rsid w:val="00AF022A"/>
    <w:rsid w:val="00B501A5"/>
    <w:rsid w:val="00B83428"/>
    <w:rsid w:val="00B8471F"/>
    <w:rsid w:val="00BD3C2E"/>
    <w:rsid w:val="00BF7BBF"/>
    <w:rsid w:val="00C02FE0"/>
    <w:rsid w:val="00C30F80"/>
    <w:rsid w:val="00C54019"/>
    <w:rsid w:val="00C61970"/>
    <w:rsid w:val="00C67DBD"/>
    <w:rsid w:val="00C67E40"/>
    <w:rsid w:val="00C8796F"/>
    <w:rsid w:val="00CA5AFF"/>
    <w:rsid w:val="00CF4E59"/>
    <w:rsid w:val="00D36AF0"/>
    <w:rsid w:val="00D42256"/>
    <w:rsid w:val="00D444E0"/>
    <w:rsid w:val="00DC1EAC"/>
    <w:rsid w:val="00DD00EC"/>
    <w:rsid w:val="00DD0E10"/>
    <w:rsid w:val="00DE7F52"/>
    <w:rsid w:val="00E05645"/>
    <w:rsid w:val="00E10870"/>
    <w:rsid w:val="00E17B25"/>
    <w:rsid w:val="00E57E7B"/>
    <w:rsid w:val="00E71C5D"/>
    <w:rsid w:val="00E84293"/>
    <w:rsid w:val="00E86B5E"/>
    <w:rsid w:val="00EB5F28"/>
    <w:rsid w:val="00ED4E04"/>
    <w:rsid w:val="00ED7F18"/>
    <w:rsid w:val="00F217A8"/>
    <w:rsid w:val="00F56409"/>
    <w:rsid w:val="00F7656D"/>
    <w:rsid w:val="00F76714"/>
    <w:rsid w:val="00F862B1"/>
    <w:rsid w:val="00FA3B1E"/>
    <w:rsid w:val="00FB2142"/>
    <w:rsid w:val="00FD3755"/>
    <w:rsid w:val="00FE4968"/>
    <w:rsid w:val="00FF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C2573"/>
  <w15:chartTrackingRefBased/>
  <w15:docId w15:val="{07125B97-7C59-2B4E-8F27-2DB9C64D2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6197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A5AF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1970"/>
    <w:rPr>
      <w:rFonts w:ascii="Times New Roman" w:eastAsia="Times New Roman" w:hAnsi="Times New Roman" w:cs="Times New Roman"/>
      <w:b/>
      <w:bCs/>
      <w:sz w:val="36"/>
      <w:szCs w:val="36"/>
    </w:rPr>
  </w:style>
  <w:style w:type="paragraph" w:customStyle="1" w:styleId="mt20">
    <w:name w:val="mt20"/>
    <w:basedOn w:val="Normal"/>
    <w:rsid w:val="00C6197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C61970"/>
    <w:rPr>
      <w:color w:val="0000FF"/>
      <w:u w:val="single"/>
    </w:rPr>
  </w:style>
  <w:style w:type="paragraph" w:styleId="NormalWeb">
    <w:name w:val="Normal (Web)"/>
    <w:basedOn w:val="Normal"/>
    <w:uiPriority w:val="99"/>
    <w:semiHidden/>
    <w:unhideWhenUsed/>
    <w:rsid w:val="00C61970"/>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C61970"/>
    <w:pPr>
      <w:ind w:left="720"/>
      <w:contextualSpacing/>
    </w:pPr>
  </w:style>
  <w:style w:type="character" w:styleId="FollowedHyperlink">
    <w:name w:val="FollowedHyperlink"/>
    <w:basedOn w:val="DefaultParagraphFont"/>
    <w:uiPriority w:val="99"/>
    <w:semiHidden/>
    <w:unhideWhenUsed/>
    <w:rsid w:val="00C61970"/>
    <w:rPr>
      <w:color w:val="954F72" w:themeColor="followedHyperlink"/>
      <w:u w:val="single"/>
    </w:rPr>
  </w:style>
  <w:style w:type="character" w:styleId="CommentReference">
    <w:name w:val="annotation reference"/>
    <w:basedOn w:val="DefaultParagraphFont"/>
    <w:uiPriority w:val="99"/>
    <w:semiHidden/>
    <w:unhideWhenUsed/>
    <w:rsid w:val="00CA5AFF"/>
    <w:rPr>
      <w:sz w:val="16"/>
      <w:szCs w:val="16"/>
    </w:rPr>
  </w:style>
  <w:style w:type="paragraph" w:styleId="CommentText">
    <w:name w:val="annotation text"/>
    <w:basedOn w:val="Normal"/>
    <w:link w:val="CommentTextChar"/>
    <w:uiPriority w:val="99"/>
    <w:semiHidden/>
    <w:unhideWhenUsed/>
    <w:rsid w:val="00CA5AFF"/>
    <w:rPr>
      <w:sz w:val="20"/>
      <w:szCs w:val="20"/>
    </w:rPr>
  </w:style>
  <w:style w:type="character" w:customStyle="1" w:styleId="CommentTextChar">
    <w:name w:val="Comment Text Char"/>
    <w:basedOn w:val="DefaultParagraphFont"/>
    <w:link w:val="CommentText"/>
    <w:uiPriority w:val="99"/>
    <w:semiHidden/>
    <w:rsid w:val="00CA5AFF"/>
    <w:rPr>
      <w:sz w:val="20"/>
      <w:szCs w:val="20"/>
    </w:rPr>
  </w:style>
  <w:style w:type="paragraph" w:styleId="CommentSubject">
    <w:name w:val="annotation subject"/>
    <w:basedOn w:val="CommentText"/>
    <w:next w:val="CommentText"/>
    <w:link w:val="CommentSubjectChar"/>
    <w:uiPriority w:val="99"/>
    <w:semiHidden/>
    <w:unhideWhenUsed/>
    <w:rsid w:val="00CA5AFF"/>
    <w:rPr>
      <w:b/>
      <w:bCs/>
    </w:rPr>
  </w:style>
  <w:style w:type="character" w:customStyle="1" w:styleId="CommentSubjectChar">
    <w:name w:val="Comment Subject Char"/>
    <w:basedOn w:val="CommentTextChar"/>
    <w:link w:val="CommentSubject"/>
    <w:uiPriority w:val="99"/>
    <w:semiHidden/>
    <w:rsid w:val="00CA5AFF"/>
    <w:rPr>
      <w:b/>
      <w:bCs/>
      <w:sz w:val="20"/>
      <w:szCs w:val="20"/>
    </w:rPr>
  </w:style>
  <w:style w:type="paragraph" w:styleId="BalloonText">
    <w:name w:val="Balloon Text"/>
    <w:basedOn w:val="Normal"/>
    <w:link w:val="BalloonTextChar"/>
    <w:uiPriority w:val="99"/>
    <w:semiHidden/>
    <w:unhideWhenUsed/>
    <w:rsid w:val="00CA5A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5AFF"/>
    <w:rPr>
      <w:rFonts w:ascii="Times New Roman" w:hAnsi="Times New Roman" w:cs="Times New Roman"/>
      <w:sz w:val="18"/>
      <w:szCs w:val="18"/>
    </w:rPr>
  </w:style>
  <w:style w:type="character" w:customStyle="1" w:styleId="Heading3Char">
    <w:name w:val="Heading 3 Char"/>
    <w:basedOn w:val="DefaultParagraphFont"/>
    <w:link w:val="Heading3"/>
    <w:uiPriority w:val="9"/>
    <w:semiHidden/>
    <w:rsid w:val="00CA5AFF"/>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rsid w:val="00AC7884"/>
    <w:pPr>
      <w:tabs>
        <w:tab w:val="center" w:pos="4680"/>
        <w:tab w:val="right" w:pos="9360"/>
      </w:tabs>
    </w:pPr>
  </w:style>
  <w:style w:type="character" w:customStyle="1" w:styleId="FooterChar">
    <w:name w:val="Footer Char"/>
    <w:basedOn w:val="DefaultParagraphFont"/>
    <w:link w:val="Footer"/>
    <w:uiPriority w:val="99"/>
    <w:rsid w:val="00AC7884"/>
  </w:style>
  <w:style w:type="character" w:styleId="PageNumber">
    <w:name w:val="page number"/>
    <w:basedOn w:val="DefaultParagraphFont"/>
    <w:uiPriority w:val="99"/>
    <w:semiHidden/>
    <w:unhideWhenUsed/>
    <w:rsid w:val="00AC7884"/>
  </w:style>
  <w:style w:type="paragraph" w:styleId="Header">
    <w:name w:val="header"/>
    <w:basedOn w:val="Normal"/>
    <w:link w:val="HeaderChar"/>
    <w:uiPriority w:val="99"/>
    <w:unhideWhenUsed/>
    <w:rsid w:val="00AC7884"/>
    <w:pPr>
      <w:tabs>
        <w:tab w:val="center" w:pos="4680"/>
        <w:tab w:val="right" w:pos="9360"/>
      </w:tabs>
    </w:pPr>
  </w:style>
  <w:style w:type="character" w:customStyle="1" w:styleId="HeaderChar">
    <w:name w:val="Header Char"/>
    <w:basedOn w:val="DefaultParagraphFont"/>
    <w:link w:val="Header"/>
    <w:uiPriority w:val="99"/>
    <w:rsid w:val="00AC7884"/>
  </w:style>
  <w:style w:type="paragraph" w:styleId="BodyText">
    <w:name w:val="Body Text"/>
    <w:basedOn w:val="Normal"/>
    <w:link w:val="BodyTextChar"/>
    <w:uiPriority w:val="1"/>
    <w:unhideWhenUsed/>
    <w:qFormat/>
    <w:rsid w:val="001810B1"/>
    <w:pPr>
      <w:widowControl w:val="0"/>
      <w:spacing w:before="59"/>
      <w:ind w:left="1561" w:hanging="1256"/>
    </w:pPr>
    <w:rPr>
      <w:rFonts w:ascii="Calibri" w:eastAsia="Calibri" w:hAnsi="Calibri" w:cs="Times New Roman"/>
      <w:i/>
      <w:sz w:val="20"/>
      <w:szCs w:val="20"/>
    </w:rPr>
  </w:style>
  <w:style w:type="character" w:customStyle="1" w:styleId="BodyTextChar">
    <w:name w:val="Body Text Char"/>
    <w:basedOn w:val="DefaultParagraphFont"/>
    <w:link w:val="BodyText"/>
    <w:uiPriority w:val="1"/>
    <w:rsid w:val="001810B1"/>
    <w:rPr>
      <w:rFonts w:ascii="Calibri" w:eastAsia="Calibri" w:hAnsi="Calibri" w:cs="Times New Roman"/>
      <w:i/>
      <w:sz w:val="20"/>
      <w:szCs w:val="20"/>
    </w:rPr>
  </w:style>
  <w:style w:type="paragraph" w:styleId="FootnoteText">
    <w:name w:val="footnote text"/>
    <w:basedOn w:val="Normal"/>
    <w:link w:val="FootnoteTextChar"/>
    <w:uiPriority w:val="99"/>
    <w:semiHidden/>
    <w:unhideWhenUsed/>
    <w:rsid w:val="00F7656D"/>
    <w:rPr>
      <w:sz w:val="20"/>
      <w:szCs w:val="20"/>
    </w:rPr>
  </w:style>
  <w:style w:type="character" w:customStyle="1" w:styleId="FootnoteTextChar">
    <w:name w:val="Footnote Text Char"/>
    <w:basedOn w:val="DefaultParagraphFont"/>
    <w:link w:val="FootnoteText"/>
    <w:uiPriority w:val="99"/>
    <w:semiHidden/>
    <w:rsid w:val="00F7656D"/>
    <w:rPr>
      <w:sz w:val="20"/>
      <w:szCs w:val="20"/>
    </w:rPr>
  </w:style>
  <w:style w:type="character" w:styleId="FootnoteReference">
    <w:name w:val="footnote reference"/>
    <w:basedOn w:val="DefaultParagraphFont"/>
    <w:uiPriority w:val="99"/>
    <w:semiHidden/>
    <w:unhideWhenUsed/>
    <w:rsid w:val="00F7656D"/>
    <w:rPr>
      <w:vertAlign w:val="superscript"/>
    </w:rPr>
  </w:style>
  <w:style w:type="character" w:styleId="UnresolvedMention">
    <w:name w:val="Unresolved Mention"/>
    <w:basedOn w:val="DefaultParagraphFont"/>
    <w:uiPriority w:val="99"/>
    <w:semiHidden/>
    <w:unhideWhenUsed/>
    <w:rsid w:val="00A72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5307">
      <w:bodyDiv w:val="1"/>
      <w:marLeft w:val="0"/>
      <w:marRight w:val="0"/>
      <w:marTop w:val="0"/>
      <w:marBottom w:val="0"/>
      <w:divBdr>
        <w:top w:val="none" w:sz="0" w:space="0" w:color="auto"/>
        <w:left w:val="none" w:sz="0" w:space="0" w:color="auto"/>
        <w:bottom w:val="none" w:sz="0" w:space="0" w:color="auto"/>
        <w:right w:val="none" w:sz="0" w:space="0" w:color="auto"/>
      </w:divBdr>
    </w:div>
    <w:div w:id="334722440">
      <w:bodyDiv w:val="1"/>
      <w:marLeft w:val="0"/>
      <w:marRight w:val="0"/>
      <w:marTop w:val="0"/>
      <w:marBottom w:val="0"/>
      <w:divBdr>
        <w:top w:val="none" w:sz="0" w:space="0" w:color="auto"/>
        <w:left w:val="none" w:sz="0" w:space="0" w:color="auto"/>
        <w:bottom w:val="none" w:sz="0" w:space="0" w:color="auto"/>
        <w:right w:val="none" w:sz="0" w:space="0" w:color="auto"/>
      </w:divBdr>
    </w:div>
    <w:div w:id="343824137">
      <w:bodyDiv w:val="1"/>
      <w:marLeft w:val="0"/>
      <w:marRight w:val="0"/>
      <w:marTop w:val="0"/>
      <w:marBottom w:val="0"/>
      <w:divBdr>
        <w:top w:val="none" w:sz="0" w:space="0" w:color="auto"/>
        <w:left w:val="none" w:sz="0" w:space="0" w:color="auto"/>
        <w:bottom w:val="none" w:sz="0" w:space="0" w:color="auto"/>
        <w:right w:val="none" w:sz="0" w:space="0" w:color="auto"/>
      </w:divBdr>
    </w:div>
    <w:div w:id="375662239">
      <w:bodyDiv w:val="1"/>
      <w:marLeft w:val="0"/>
      <w:marRight w:val="0"/>
      <w:marTop w:val="0"/>
      <w:marBottom w:val="0"/>
      <w:divBdr>
        <w:top w:val="none" w:sz="0" w:space="0" w:color="auto"/>
        <w:left w:val="none" w:sz="0" w:space="0" w:color="auto"/>
        <w:bottom w:val="none" w:sz="0" w:space="0" w:color="auto"/>
        <w:right w:val="none" w:sz="0" w:space="0" w:color="auto"/>
      </w:divBdr>
    </w:div>
    <w:div w:id="387073739">
      <w:bodyDiv w:val="1"/>
      <w:marLeft w:val="0"/>
      <w:marRight w:val="0"/>
      <w:marTop w:val="0"/>
      <w:marBottom w:val="0"/>
      <w:divBdr>
        <w:top w:val="none" w:sz="0" w:space="0" w:color="auto"/>
        <w:left w:val="none" w:sz="0" w:space="0" w:color="auto"/>
        <w:bottom w:val="none" w:sz="0" w:space="0" w:color="auto"/>
        <w:right w:val="none" w:sz="0" w:space="0" w:color="auto"/>
      </w:divBdr>
    </w:div>
    <w:div w:id="928274474">
      <w:bodyDiv w:val="1"/>
      <w:marLeft w:val="0"/>
      <w:marRight w:val="0"/>
      <w:marTop w:val="0"/>
      <w:marBottom w:val="0"/>
      <w:divBdr>
        <w:top w:val="none" w:sz="0" w:space="0" w:color="auto"/>
        <w:left w:val="none" w:sz="0" w:space="0" w:color="auto"/>
        <w:bottom w:val="none" w:sz="0" w:space="0" w:color="auto"/>
        <w:right w:val="none" w:sz="0" w:space="0" w:color="auto"/>
      </w:divBdr>
    </w:div>
    <w:div w:id="1099375886">
      <w:bodyDiv w:val="1"/>
      <w:marLeft w:val="0"/>
      <w:marRight w:val="0"/>
      <w:marTop w:val="0"/>
      <w:marBottom w:val="0"/>
      <w:divBdr>
        <w:top w:val="none" w:sz="0" w:space="0" w:color="auto"/>
        <w:left w:val="none" w:sz="0" w:space="0" w:color="auto"/>
        <w:bottom w:val="none" w:sz="0" w:space="0" w:color="auto"/>
        <w:right w:val="none" w:sz="0" w:space="0" w:color="auto"/>
      </w:divBdr>
    </w:div>
    <w:div w:id="1103762615">
      <w:bodyDiv w:val="1"/>
      <w:marLeft w:val="0"/>
      <w:marRight w:val="0"/>
      <w:marTop w:val="0"/>
      <w:marBottom w:val="0"/>
      <w:divBdr>
        <w:top w:val="none" w:sz="0" w:space="0" w:color="auto"/>
        <w:left w:val="none" w:sz="0" w:space="0" w:color="auto"/>
        <w:bottom w:val="none" w:sz="0" w:space="0" w:color="auto"/>
        <w:right w:val="none" w:sz="0" w:space="0" w:color="auto"/>
      </w:divBdr>
    </w:div>
    <w:div w:id="1233348271">
      <w:bodyDiv w:val="1"/>
      <w:marLeft w:val="0"/>
      <w:marRight w:val="0"/>
      <w:marTop w:val="0"/>
      <w:marBottom w:val="0"/>
      <w:divBdr>
        <w:top w:val="none" w:sz="0" w:space="0" w:color="auto"/>
        <w:left w:val="none" w:sz="0" w:space="0" w:color="auto"/>
        <w:bottom w:val="none" w:sz="0" w:space="0" w:color="auto"/>
        <w:right w:val="none" w:sz="0" w:space="0" w:color="auto"/>
      </w:divBdr>
    </w:div>
    <w:div w:id="1368796464">
      <w:bodyDiv w:val="1"/>
      <w:marLeft w:val="0"/>
      <w:marRight w:val="0"/>
      <w:marTop w:val="0"/>
      <w:marBottom w:val="0"/>
      <w:divBdr>
        <w:top w:val="none" w:sz="0" w:space="0" w:color="auto"/>
        <w:left w:val="none" w:sz="0" w:space="0" w:color="auto"/>
        <w:bottom w:val="none" w:sz="0" w:space="0" w:color="auto"/>
        <w:right w:val="none" w:sz="0" w:space="0" w:color="auto"/>
      </w:divBdr>
    </w:div>
    <w:div w:id="1789856387">
      <w:bodyDiv w:val="1"/>
      <w:marLeft w:val="0"/>
      <w:marRight w:val="0"/>
      <w:marTop w:val="0"/>
      <w:marBottom w:val="0"/>
      <w:divBdr>
        <w:top w:val="none" w:sz="0" w:space="0" w:color="auto"/>
        <w:left w:val="none" w:sz="0" w:space="0" w:color="auto"/>
        <w:bottom w:val="none" w:sz="0" w:space="0" w:color="auto"/>
        <w:right w:val="none" w:sz="0" w:space="0" w:color="auto"/>
      </w:divBdr>
    </w:div>
    <w:div w:id="1791974405">
      <w:bodyDiv w:val="1"/>
      <w:marLeft w:val="0"/>
      <w:marRight w:val="0"/>
      <w:marTop w:val="0"/>
      <w:marBottom w:val="0"/>
      <w:divBdr>
        <w:top w:val="none" w:sz="0" w:space="0" w:color="auto"/>
        <w:left w:val="none" w:sz="0" w:space="0" w:color="auto"/>
        <w:bottom w:val="none" w:sz="0" w:space="0" w:color="auto"/>
        <w:right w:val="none" w:sz="0" w:space="0" w:color="auto"/>
      </w:divBdr>
    </w:div>
    <w:div w:id="1848329561">
      <w:bodyDiv w:val="1"/>
      <w:marLeft w:val="0"/>
      <w:marRight w:val="0"/>
      <w:marTop w:val="0"/>
      <w:marBottom w:val="0"/>
      <w:divBdr>
        <w:top w:val="none" w:sz="0" w:space="0" w:color="auto"/>
        <w:left w:val="none" w:sz="0" w:space="0" w:color="auto"/>
        <w:bottom w:val="none" w:sz="0" w:space="0" w:color="auto"/>
        <w:right w:val="none" w:sz="0" w:space="0" w:color="auto"/>
      </w:divBdr>
    </w:div>
    <w:div w:id="1917858298">
      <w:bodyDiv w:val="1"/>
      <w:marLeft w:val="0"/>
      <w:marRight w:val="0"/>
      <w:marTop w:val="0"/>
      <w:marBottom w:val="0"/>
      <w:divBdr>
        <w:top w:val="none" w:sz="0" w:space="0" w:color="auto"/>
        <w:left w:val="none" w:sz="0" w:space="0" w:color="auto"/>
        <w:bottom w:val="none" w:sz="0" w:space="0" w:color="auto"/>
        <w:right w:val="none" w:sz="0" w:space="0" w:color="auto"/>
      </w:divBdr>
    </w:div>
    <w:div w:id="193246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nlrb.gov/link/document.aspx/09031d458392d6f2" TargetMode="External"/><Relationship Id="rId13" Type="http://schemas.openxmlformats.org/officeDocument/2006/relationships/hyperlink" Target="https://www.congress.gov/bill/117th-congress/house-bill/3110/tex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ongress.gov/bill/117th-congress/house-bill/1065"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elawgroup.com/sample-social-media-policy-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apps.nlrb.gov/link/document.aspx/09031d45839390e5"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apps.nlrb.gov/link/document.aspx/09031d458392df10"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1AD-F301-4468-9841-2E47B8F9E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2305</Words>
  <Characters>13140</Characters>
  <Application>Microsoft Office Word</Application>
  <DocSecurity>0</DocSecurity>
  <PresentationFormat/>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Cooper</dc:creator>
  <cp:keywords/>
  <dc:description/>
  <cp:lastModifiedBy>Matthew Lasnier</cp:lastModifiedBy>
  <cp:revision>2</cp:revision>
  <cp:lastPrinted>2022-06-22T20:08:00Z</cp:lastPrinted>
  <dcterms:created xsi:type="dcterms:W3CDTF">2023-12-15T17:20:00Z</dcterms:created>
  <dcterms:modified xsi:type="dcterms:W3CDTF">2023-12-15T17:20:00Z</dcterms:modified>
</cp:coreProperties>
</file>